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Stan na dzień sporządzenia prospektu informacyjnego (</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roku)</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PROSPEKT INFORMACYJNY DLA PRZEDSIĘWZIĘCIA DEWELOPERSKIEGO </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hanging="2"/>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PRZEDSIĘWZIĘCIE DEWELOPERSKIE: budowa budynku mieszkalnego jednorodzinnego dwulokalowego położonego przy ul. ZGODNEJ w MIERZYNIE, działka 14/30, 14/31, 14/32, 14/33 i 14/34 obręb Mierzyn 2  Gmina Dobra </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CZĘŚĆ OGÓLNA</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80" w:before="280" w:line="240" w:lineRule="auto"/>
        <w:ind w:left="1077" w:right="0" w:hanging="720"/>
        <w:jc w:val="left"/>
        <w:rPr>
          <w:rFonts w:ascii="Times New Roman" w:cs="Times New Roman" w:eastAsia="Times New Roman" w:hAnsi="Times New Roman"/>
          <w:b w:val="0"/>
          <w:bCs w:val="0"/>
          <w:i w:val="0"/>
          <w:iCs w:val="0"/>
          <w:smallCaps w:val="0"/>
          <w:strike w:val="0"/>
          <w:color w:val="000000"/>
          <w:sz w:val="20"/>
          <w:szCs w:val="2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DANE IDENTYFIKACYJNE I KONTAKTOWE DOTYCZĄCE DEWELOPERA</w:t>
      </w:r>
      <w:r w:rsidDel="00000000" w:rsidR="00000000" w:rsidRPr="00000000">
        <w:rPr>
          <w:rtl w:val="0"/>
        </w:rPr>
      </w:r>
    </w:p>
    <w:tbl>
      <w:tblPr>
        <w:tblStyle w:val="Table1"/>
        <w:tblpPr w:leftFromText="141" w:rightFromText="141" w:topFromText="0" w:bottomFromText="0" w:vertAnchor="text" w:horzAnchor="text" w:tblpX="0" w:tblpY="50"/>
        <w:tblW w:w="964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988"/>
        <w:gridCol w:w="3240"/>
        <w:gridCol w:w="3420"/>
        <w:tblGridChange w:id="0">
          <w:tblGrid>
            <w:gridCol w:w="2988"/>
            <w:gridCol w:w="3240"/>
            <w:gridCol w:w="3420"/>
          </w:tblGrid>
        </w:tblGridChange>
      </w:tblGrid>
      <w:tr>
        <w:trPr>
          <w:cantSplit w:val="0"/>
          <w:tblHeader w:val="0"/>
        </w:trPr>
        <w:tc>
          <w:tcPr>
            <w:gridSpan w:val="3"/>
            <w:shd w:fill="e0e0e0" w:val="clear"/>
            <w:vAlign w:val="top"/>
          </w:tcPr>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DANE DEWELOPERA</w:t>
            </w:r>
            <w:r w:rsidDel="00000000" w:rsidR="00000000" w:rsidRPr="00000000">
              <w:rPr>
                <w:rtl w:val="0"/>
              </w:rPr>
            </w:r>
          </w:p>
        </w:tc>
      </w:tr>
      <w:tr>
        <w:trPr>
          <w:cantSplit w:val="0"/>
          <w:trHeight w:val="1133" w:hRule="atLeast"/>
          <w:tblHeader w:val="0"/>
        </w:trPr>
        <w:tc>
          <w:tcPr>
            <w:shd w:fill="f3f3f3" w:val="clear"/>
            <w:vAlign w:val="top"/>
          </w:tcPr>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Deweloper</w:t>
            </w:r>
          </w:p>
        </w:tc>
        <w:tc>
          <w:tcPr>
            <w:gridSpan w:val="2"/>
            <w:vAlign w:val="top"/>
          </w:tcPr>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spacing w:after="60" w:before="3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MERITUM ZGODNA Zgorzelski Krukowski  Spółka komandytowa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KRS 0001109943</w:t>
            </w:r>
            <w:r w:rsidDel="00000000" w:rsidR="00000000" w:rsidRPr="00000000">
              <w:rPr>
                <w:rtl w:val="0"/>
              </w:rPr>
            </w:r>
          </w:p>
        </w:tc>
      </w:tr>
      <w:tr>
        <w:trPr>
          <w:cantSplit w:val="0"/>
          <w:trHeight w:val="375" w:hRule="atLeast"/>
          <w:tblHeader w:val="0"/>
        </w:trPr>
        <w:tc>
          <w:tcPr>
            <w:shd w:fill="f3f3f3" w:val="clear"/>
            <w:vAlign w:val="top"/>
          </w:tcPr>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Adres</w:t>
            </w:r>
          </w:p>
        </w:tc>
        <w:tc>
          <w:tcPr>
            <w:gridSpan w:val="2"/>
            <w:vAlign w:val="top"/>
          </w:tcPr>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Ul. Kotwiczna 11A, 70-683 Szczecin </w:t>
            </w:r>
          </w:p>
        </w:tc>
      </w:tr>
      <w:tr>
        <w:trPr>
          <w:cantSplit w:val="0"/>
          <w:trHeight w:val="188" w:hRule="atLeast"/>
          <w:tblHeader w:val="0"/>
        </w:trPr>
        <w:tc>
          <w:tcPr>
            <w:shd w:fill="f3f3f3" w:val="clear"/>
            <w:vAlign w:val="top"/>
          </w:tcPr>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Nr NIP i REGON</w:t>
            </w:r>
          </w:p>
        </w:tc>
        <w:tc>
          <w:tcPr>
            <w:vAlign w:val="center"/>
          </w:tcPr>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NIP: 9552581382</w:t>
            </w:r>
            <w:r w:rsidDel="00000000" w:rsidR="00000000" w:rsidRPr="00000000">
              <w:rPr>
                <w:rtl w:val="0"/>
              </w:rPr>
            </w:r>
          </w:p>
        </w:tc>
        <w:tc>
          <w:tcPr>
            <w:vAlign w:val="center"/>
          </w:tcPr>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REGON: 528870689</w:t>
            </w:r>
            <w:r w:rsidDel="00000000" w:rsidR="00000000" w:rsidRPr="00000000">
              <w:rPr>
                <w:rtl w:val="0"/>
              </w:rPr>
            </w:r>
          </w:p>
        </w:tc>
      </w:tr>
      <w:tr>
        <w:trPr>
          <w:cantSplit w:val="0"/>
          <w:tblHeader w:val="0"/>
        </w:trPr>
        <w:tc>
          <w:tcPr>
            <w:shd w:fill="f3f3f3" w:val="clear"/>
            <w:vAlign w:val="top"/>
          </w:tcPr>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Nr telefonu</w:t>
            </w:r>
          </w:p>
        </w:tc>
        <w:tc>
          <w:tcPr>
            <w:gridSpan w:val="2"/>
            <w:vAlign w:val="top"/>
          </w:tcPr>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+48 607 573 421 , 735 100 400</w:t>
            </w:r>
          </w:p>
        </w:tc>
      </w:tr>
      <w:tr>
        <w:trPr>
          <w:cantSplit w:val="0"/>
          <w:trHeight w:val="272" w:hRule="atLeast"/>
          <w:tblHeader w:val="0"/>
        </w:trPr>
        <w:tc>
          <w:tcPr>
            <w:shd w:fill="f3f3f3" w:val="clear"/>
            <w:vAlign w:val="top"/>
          </w:tcPr>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Adres poczty elektronicznej</w:t>
            </w:r>
          </w:p>
        </w:tc>
        <w:tc>
          <w:tcPr>
            <w:gridSpan w:val="2"/>
            <w:vAlign w:val="top"/>
          </w:tcPr>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hyperlink r:id="rId7">
              <w:r w:rsidDel="00000000" w:rsidR="00000000" w:rsidRPr="00000000">
                <w:rPr>
                  <w:rFonts w:ascii="Calibri" w:cs="Calibri" w:eastAsia="Calibri" w:hAnsi="Calibri"/>
                  <w:b w:val="0"/>
                  <w:bCs w:val="0"/>
                  <w:i w:val="0"/>
                  <w:iCs w:val="0"/>
                  <w:smallCaps w:val="0"/>
                  <w:strike w:val="0"/>
                  <w:color w:val="0000ff"/>
                  <w:sz w:val="24"/>
                  <w:szCs w:val="24"/>
                  <w:u w:val="single"/>
                  <w:shd w:fill="auto" w:val="clear"/>
                  <w:vertAlign w:val="baseline"/>
                  <w:rtl w:val="0"/>
                </w:rPr>
                <w:t xml:space="preserve">marcin</w:t>
              </w:r>
            </w:hyperlink>
            <w:hyperlink r:id="rId8">
              <w:r w:rsidDel="00000000" w:rsidR="00000000" w:rsidRPr="00000000">
                <w:rPr>
                  <w:rFonts w:ascii="Arial Narrow" w:cs="Arial Narrow" w:eastAsia="Arial Narrow" w:hAnsi="Arial Narrow"/>
                  <w:b w:val="0"/>
                  <w:bCs w:val="0"/>
                  <w:i w:val="0"/>
                  <w:iCs w:val="0"/>
                  <w:smallCaps w:val="0"/>
                  <w:strike w:val="0"/>
                  <w:color w:val="0000ff"/>
                  <w:sz w:val="24"/>
                  <w:szCs w:val="24"/>
                  <w:u w:val="single"/>
                  <w:shd w:fill="auto" w:val="clear"/>
                  <w:vertAlign w:val="baseline"/>
                  <w:rtl w:val="0"/>
                </w:rPr>
                <w:t xml:space="preserve">@kotwiczna.pl</w:t>
              </w:r>
            </w:hyperlink>
            <w:r w:rsidDel="00000000" w:rsidR="00000000" w:rsidRPr="00000000">
              <w:rPr>
                <w:rtl w:val="0"/>
              </w:rPr>
            </w:r>
          </w:p>
        </w:tc>
      </w:tr>
      <w:tr>
        <w:trPr>
          <w:cantSplit w:val="0"/>
          <w:tblHeader w:val="0"/>
        </w:trPr>
        <w:tc>
          <w:tcPr>
            <w:shd w:fill="f3f3f3" w:val="clear"/>
            <w:vAlign w:val="top"/>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Nr faksu</w:t>
            </w:r>
          </w:p>
        </w:tc>
        <w:tc>
          <w:tcPr>
            <w:gridSpan w:val="2"/>
            <w:vAlign w:val="top"/>
          </w:tcPr>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tc>
      </w:tr>
      <w:tr>
        <w:trPr>
          <w:cantSplit w:val="0"/>
          <w:trHeight w:val="583" w:hRule="atLeast"/>
          <w:tblHeader w:val="0"/>
        </w:trPr>
        <w:tc>
          <w:tcPr>
            <w:shd w:fill="f3f3f3" w:val="clear"/>
            <w:vAlign w:val="top"/>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Adres strony internetowej dewelopera</w:t>
            </w:r>
          </w:p>
        </w:tc>
        <w:tc>
          <w:tcPr>
            <w:gridSpan w:val="2"/>
            <w:vAlign w:val="top"/>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hyperlink r:id="rId9">
              <w:r w:rsidDel="00000000" w:rsidR="00000000" w:rsidRPr="00000000">
                <w:rPr>
                  <w:rFonts w:ascii="Arial Narrow" w:cs="Arial Narrow" w:eastAsia="Arial Narrow" w:hAnsi="Arial Narrow"/>
                  <w:b w:val="0"/>
                  <w:bCs w:val="0"/>
                  <w:i w:val="0"/>
                  <w:iCs w:val="0"/>
                  <w:smallCaps w:val="0"/>
                  <w:strike w:val="0"/>
                  <w:color w:val="0000ff"/>
                  <w:sz w:val="24"/>
                  <w:szCs w:val="24"/>
                  <w:u w:val="single"/>
                  <w:shd w:fill="auto" w:val="clear"/>
                  <w:vertAlign w:val="baseline"/>
                  <w:rtl w:val="0"/>
                </w:rPr>
                <w:t xml:space="preserve">www.osiedlezgodna.pl</w:t>
              </w:r>
            </w:hyperlink>
            <w:r w:rsidDel="00000000" w:rsidR="00000000" w:rsidRPr="00000000">
              <w:rPr>
                <w:rtl w:val="0"/>
              </w:rPr>
            </w:r>
          </w:p>
        </w:tc>
      </w:tr>
    </w:tbl>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120" w:lineRule="auto"/>
        <w:ind w:left="1077"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80" w:before="0" w:line="240" w:lineRule="auto"/>
        <w:ind w:left="1077" w:right="0" w:hanging="720"/>
        <w:jc w:val="left"/>
        <w:rPr>
          <w:rFonts w:ascii="Times New Roman" w:cs="Times New Roman" w:eastAsia="Times New Roman" w:hAnsi="Times New Roman"/>
          <w:b w:val="0"/>
          <w:bCs w:val="0"/>
          <w:i w:val="0"/>
          <w:iCs w:val="0"/>
          <w:smallCaps w:val="0"/>
          <w:strike w:val="0"/>
          <w:color w:val="000000"/>
          <w:sz w:val="20"/>
          <w:szCs w:val="2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DOŚWIADCZENIE DEWELOPERA</w:t>
      </w:r>
      <w:r w:rsidDel="00000000" w:rsidR="00000000" w:rsidRPr="00000000">
        <w:rPr>
          <w:rtl w:val="0"/>
        </w:rPr>
      </w:r>
    </w:p>
    <w:tbl>
      <w:tblPr>
        <w:tblStyle w:val="Table2"/>
        <w:tblW w:w="964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08"/>
        <w:gridCol w:w="6840"/>
        <w:tblGridChange w:id="0">
          <w:tblGrid>
            <w:gridCol w:w="2808"/>
            <w:gridCol w:w="6840"/>
          </w:tblGrid>
        </w:tblGridChange>
      </w:tblGrid>
      <w:tr>
        <w:trPr>
          <w:cantSplit w:val="0"/>
          <w:trHeight w:val="943" w:hRule="atLeast"/>
          <w:tblHeader w:val="0"/>
        </w:trPr>
        <w:tc>
          <w:tcPr>
            <w:gridSpan w:val="2"/>
            <w:shd w:fill="d9d9d9" w:val="clear"/>
            <w:vAlign w:val="top"/>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HISTORIA I UDOKUMENTOWANE DOŚWIADCZENIE DEWELOPERA</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28" w:right="79" w:firstLine="0"/>
              <w:jc w:val="both"/>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Spółka Meritum Zgodna Zgorzelski Krukowski Sp. komandytowa została założona dla prowadzenia projektu deweloperskiego prowadzonego w Mierzynie przy ul. Zgodnej/Łukasińskiego.  Wspólnicy Spółki od wielu lat prowadzą projekty deweloperskie i inwestycyjne pod firmami KOTWICZNA INVEST Sp. z o.o., DDC Sp z o.o., MERITUM INVEST Sp z o.o.. </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28" w:right="79" w:firstLine="0"/>
              <w:jc w:val="both"/>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Od samego początku swojego istnienia, firma zajmuje się budową domów mieszkalnych jednorodzinnych, o różnym stopniu złożoności oraz uzbrojeniem terenów w infrastrukturę techniczną. Firma oferuje swoim potencjalnym klientom kompleksowe usługi w zakresie budowy domu.</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Inwestycje, jakie zrealizowały Spółki powiązane zlokalizowane są w: Wołczkowie, Szczecinie, Mierzynie, Wisełce i Łukęcinie.</w:t>
            </w:r>
            <w:r w:rsidDel="00000000" w:rsidR="00000000" w:rsidRPr="00000000">
              <w:rPr>
                <w:rtl w:val="0"/>
              </w:rPr>
            </w:r>
          </w:p>
        </w:tc>
      </w:tr>
      <w:tr>
        <w:trPr>
          <w:cantSplit w:val="0"/>
          <w:trHeight w:val="170" w:hRule="atLeast"/>
          <w:tblHeader w:val="0"/>
        </w:trPr>
        <w:tc>
          <w:tcPr>
            <w:gridSpan w:val="2"/>
            <w:tcBorders>
              <w:left w:color="000000" w:space="0" w:sz="0" w:val="nil"/>
              <w:right w:color="000000" w:space="0" w:sz="0" w:val="nil"/>
            </w:tcBorders>
            <w:vAlign w:val="top"/>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gridSpan w:val="2"/>
            <w:shd w:fill="d9d9d9" w:val="clear"/>
            <w:vAlign w:val="top"/>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PRZYKŁAD UKOŃCZONEGO PRZEDSIĘWZIĘCIA DEWELOPERSKIEGO </w:t>
              <w:br w:type="textWrapping"/>
              <w:t xml:space="preserve">(należy wskazać, o ile istnieją, trzy ukończone przedsięwzięcia deweloperskie, w tym ostatnie)</w:t>
            </w:r>
            <w:r w:rsidDel="00000000" w:rsidR="00000000" w:rsidRPr="00000000">
              <w:rPr>
                <w:rtl w:val="0"/>
              </w:rPr>
            </w:r>
          </w:p>
        </w:tc>
      </w:tr>
      <w:tr>
        <w:trPr>
          <w:cantSplit w:val="0"/>
          <w:tblHeader w:val="0"/>
        </w:trPr>
        <w:tc>
          <w:tcPr>
            <w:shd w:fill="f3f3f3" w:val="clear"/>
            <w:vAlign w:val="top"/>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Adres</w:t>
            </w:r>
          </w:p>
        </w:tc>
        <w:tc>
          <w:tcPr>
            <w:vAlign w:val="top"/>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Mierzyn, ul. Osiedle nad Stawem (6 segmentów bliźniaków)</w:t>
            </w:r>
            <w:r w:rsidDel="00000000" w:rsidR="00000000" w:rsidRPr="00000000">
              <w:rPr>
                <w:rtl w:val="0"/>
              </w:rPr>
            </w:r>
          </w:p>
        </w:tc>
      </w:tr>
      <w:tr>
        <w:trPr>
          <w:cantSplit w:val="0"/>
          <w:tblHeader w:val="0"/>
        </w:trPr>
        <w:tc>
          <w:tcPr>
            <w:shd w:fill="f3f3f3" w:val="clear"/>
            <w:vAlign w:val="top"/>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Data rozpoczęcia</w:t>
            </w:r>
          </w:p>
        </w:tc>
        <w:tc>
          <w:tcPr>
            <w:vAlign w:val="top"/>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15.03.2019r.</w:t>
            </w:r>
            <w:r w:rsidDel="00000000" w:rsidR="00000000" w:rsidRPr="00000000">
              <w:rPr>
                <w:rtl w:val="0"/>
              </w:rPr>
            </w:r>
          </w:p>
        </w:tc>
      </w:tr>
      <w:tr>
        <w:trPr>
          <w:cantSplit w:val="0"/>
          <w:tblHeader w:val="0"/>
        </w:trPr>
        <w:tc>
          <w:tcPr>
            <w:shd w:fill="f3f3f3" w:val="clear"/>
            <w:vAlign w:val="top"/>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Data wydania </w:t>
              <w:br w:type="textWrapping"/>
              <w:t xml:space="preserve">decyzji o pozwoleniu na użytkowanie</w:t>
            </w:r>
          </w:p>
        </w:tc>
        <w:tc>
          <w:tcPr>
            <w:vAlign w:val="top"/>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24.02.2021 r.</w:t>
            </w:r>
            <w:r w:rsidDel="00000000" w:rsidR="00000000" w:rsidRPr="00000000">
              <w:rPr>
                <w:rtl w:val="0"/>
              </w:rPr>
            </w:r>
          </w:p>
        </w:tc>
      </w:tr>
      <w:tr>
        <w:trPr>
          <w:cantSplit w:val="0"/>
          <w:tblHeader w:val="0"/>
        </w:trPr>
        <w:tc>
          <w:tcPr>
            <w:gridSpan w:val="2"/>
            <w:shd w:fill="d9d9d9" w:val="clear"/>
            <w:vAlign w:val="top"/>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PRZYKŁAD INNEGO UKOŃCZONEGO PRZEDSIĘWZIĘCIA DEWELOPERSKIEGO</w:t>
            </w:r>
            <w:r w:rsidDel="00000000" w:rsidR="00000000" w:rsidRPr="00000000">
              <w:rPr>
                <w:rtl w:val="0"/>
              </w:rPr>
            </w:r>
          </w:p>
        </w:tc>
      </w:tr>
      <w:tr>
        <w:trPr>
          <w:cantSplit w:val="0"/>
          <w:tblHeader w:val="0"/>
        </w:trPr>
        <w:tc>
          <w:tcPr>
            <w:shd w:fill="f3f3f3" w:val="clear"/>
            <w:vAlign w:val="top"/>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Adres</w:t>
            </w:r>
          </w:p>
        </w:tc>
        <w:tc>
          <w:tcPr>
            <w:vAlign w:val="center"/>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Wołczkowo , ul. Babiego Lata 2 (8 segmentów bliźniaków)</w:t>
            </w:r>
            <w:r w:rsidDel="00000000" w:rsidR="00000000" w:rsidRPr="00000000">
              <w:rPr>
                <w:rtl w:val="0"/>
              </w:rPr>
            </w:r>
          </w:p>
        </w:tc>
      </w:tr>
      <w:tr>
        <w:trPr>
          <w:cantSplit w:val="0"/>
          <w:tblHeader w:val="0"/>
        </w:trPr>
        <w:tc>
          <w:tcPr>
            <w:shd w:fill="f3f3f3" w:val="clear"/>
            <w:vAlign w:val="top"/>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Data rozpoczęcia</w:t>
            </w:r>
          </w:p>
        </w:tc>
        <w:tc>
          <w:tcPr>
            <w:vAlign w:val="top"/>
          </w:tcPr>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15.03.2021 r.</w:t>
            </w:r>
            <w:r w:rsidDel="00000000" w:rsidR="00000000" w:rsidRPr="00000000">
              <w:rPr>
                <w:rtl w:val="0"/>
              </w:rPr>
            </w:r>
          </w:p>
        </w:tc>
      </w:tr>
      <w:tr>
        <w:trPr>
          <w:cantSplit w:val="0"/>
          <w:tblHeader w:val="0"/>
        </w:trPr>
        <w:tc>
          <w:tcPr>
            <w:shd w:fill="f3f3f3" w:val="clear"/>
            <w:vAlign w:val="top"/>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Data wydania </w:t>
              <w:br w:type="textWrapping"/>
              <w:t xml:space="preserve">decyzji o pozwoleniu na użytkowanie</w:t>
            </w:r>
          </w:p>
        </w:tc>
        <w:tc>
          <w:tcPr>
            <w:vAlign w:val="top"/>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26.02.2023 r.</w:t>
            </w:r>
            <w:r w:rsidDel="00000000" w:rsidR="00000000" w:rsidRPr="00000000">
              <w:rPr>
                <w:rtl w:val="0"/>
              </w:rPr>
            </w:r>
          </w:p>
        </w:tc>
      </w:tr>
      <w:tr>
        <w:trPr>
          <w:cantSplit w:val="0"/>
          <w:tblHeader w:val="0"/>
        </w:trPr>
        <w:tc>
          <w:tcPr>
            <w:gridSpan w:val="2"/>
            <w:shd w:fill="d9d9d9" w:val="clear"/>
            <w:vAlign w:val="top"/>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PRZYKŁAD OSTATNIEGO UKOŃCZONEGO PRZEDSIĘWZIĘCIA DEWELOPERSKIEGO</w:t>
            </w:r>
            <w:r w:rsidDel="00000000" w:rsidR="00000000" w:rsidRPr="00000000">
              <w:rPr>
                <w:rtl w:val="0"/>
              </w:rPr>
            </w:r>
          </w:p>
        </w:tc>
      </w:tr>
      <w:tr>
        <w:trPr>
          <w:cantSplit w:val="0"/>
          <w:tblHeader w:val="0"/>
        </w:trPr>
        <w:tc>
          <w:tcPr>
            <w:shd w:fill="f3f3f3" w:val="clear"/>
            <w:vAlign w:val="top"/>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Adres</w:t>
            </w:r>
          </w:p>
        </w:tc>
        <w:tc>
          <w:tcPr>
            <w:vAlign w:val="top"/>
          </w:tcPr>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SZCZECIN UL. SZCZECIŃSKA 26-27 (GARDEN HOUSE 3)</w:t>
            </w:r>
          </w:p>
        </w:tc>
      </w:tr>
      <w:tr>
        <w:trPr>
          <w:cantSplit w:val="0"/>
          <w:tblHeader w:val="0"/>
        </w:trPr>
        <w:tc>
          <w:tcPr>
            <w:shd w:fill="f3f3f3" w:val="clear"/>
            <w:vAlign w:val="top"/>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Data rozpoczęcia</w:t>
            </w:r>
          </w:p>
        </w:tc>
        <w:tc>
          <w:tcPr>
            <w:vAlign w:val="top"/>
          </w:tcPr>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30.03.2019 r.</w:t>
            </w:r>
            <w:r w:rsidDel="00000000" w:rsidR="00000000" w:rsidRPr="00000000">
              <w:rPr>
                <w:rtl w:val="0"/>
              </w:rPr>
            </w:r>
          </w:p>
        </w:tc>
      </w:tr>
      <w:tr>
        <w:trPr>
          <w:cantSplit w:val="0"/>
          <w:tblHeader w:val="0"/>
        </w:trPr>
        <w:tc>
          <w:tcPr>
            <w:shd w:fill="f3f3f3" w:val="clear"/>
            <w:vAlign w:val="top"/>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Data wydania </w:t>
              <w:br w:type="textWrapping"/>
              <w:t xml:space="preserve">decyzji o pozwoleniu na użytkowanie</w:t>
            </w:r>
          </w:p>
        </w:tc>
        <w:tc>
          <w:tcPr>
            <w:vAlign w:val="top"/>
          </w:tcPr>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12.01.2021 r.</w:t>
            </w:r>
            <w:r w:rsidDel="00000000" w:rsidR="00000000" w:rsidRPr="00000000">
              <w:rPr>
                <w:rtl w:val="0"/>
              </w:rPr>
            </w:r>
          </w:p>
        </w:tc>
      </w:tr>
      <w:tr>
        <w:trPr>
          <w:cantSplit w:val="0"/>
          <w:tblHeader w:val="0"/>
        </w:trPr>
        <w:tc>
          <w:tcPr>
            <w:gridSpan w:val="2"/>
            <w:tcBorders>
              <w:left w:color="000000" w:space="0" w:sz="0" w:val="nil"/>
              <w:right w:color="000000" w:space="0" w:sz="0" w:val="nil"/>
            </w:tcBorders>
            <w:vAlign w:val="top"/>
          </w:tcPr>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shd w:fill="f3f3f3" w:val="clear"/>
            <w:vAlign w:val="top"/>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Czy przeciwko deweloperowi prowadzono (lub prowadzi się) postępowania egzekucyjne na kwotę powyżej 100 000 zł</w:t>
            </w:r>
          </w:p>
        </w:tc>
        <w:tc>
          <w:tcPr>
            <w:vAlign w:val="top"/>
          </w:tcPr>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Nie.</w:t>
            </w:r>
          </w:p>
        </w:tc>
      </w:tr>
    </w:tbl>
    <w:p w:rsidR="00000000" w:rsidDel="00000000" w:rsidP="00000000" w:rsidRDefault="00000000" w:rsidRPr="00000000" w14:paraId="0000004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80" w:before="280" w:line="240" w:lineRule="auto"/>
        <w:ind w:left="1077" w:right="0" w:hanging="720"/>
        <w:jc w:val="left"/>
        <w:rPr>
          <w:rFonts w:ascii="Times New Roman" w:cs="Times New Roman" w:eastAsia="Times New Roman" w:hAnsi="Times New Roman"/>
          <w:b w:val="0"/>
          <w:bCs w:val="0"/>
          <w:i w:val="0"/>
          <w:iCs w:val="0"/>
          <w:smallCaps w:val="0"/>
          <w:strike w:val="0"/>
          <w:color w:val="000000"/>
          <w:sz w:val="20"/>
          <w:szCs w:val="2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INFORMACJE DOTYCZĄCE NIERUCHOMOŚCI I PRZEDSIĘWZIĘCIA DEWELOPERSKIEGO</w:t>
      </w:r>
      <w:r w:rsidDel="00000000" w:rsidR="00000000" w:rsidRPr="00000000">
        <w:rPr>
          <w:rtl w:val="0"/>
        </w:rPr>
      </w:r>
    </w:p>
    <w:tbl>
      <w:tblPr>
        <w:tblStyle w:val="Table3"/>
        <w:tblpPr w:leftFromText="141" w:rightFromText="141" w:topFromText="0" w:bottomFromText="0" w:vertAnchor="text" w:horzAnchor="text" w:tblpX="0" w:tblpY="1"/>
        <w:tblW w:w="918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73"/>
        <w:gridCol w:w="3610"/>
        <w:gridCol w:w="141"/>
        <w:gridCol w:w="38"/>
        <w:gridCol w:w="3118"/>
        <w:tblGridChange w:id="0">
          <w:tblGrid>
            <w:gridCol w:w="2273"/>
            <w:gridCol w:w="3610"/>
            <w:gridCol w:w="141"/>
            <w:gridCol w:w="38"/>
            <w:gridCol w:w="3118"/>
          </w:tblGrid>
        </w:tblGridChange>
      </w:tblGrid>
      <w:tr>
        <w:trPr>
          <w:cantSplit w:val="0"/>
          <w:tblHeader w:val="0"/>
        </w:trPr>
        <w:tc>
          <w:tcPr>
            <w:gridSpan w:val="5"/>
            <w:shd w:fill="e0e0e0" w:val="clear"/>
            <w:vAlign w:val="top"/>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INFORMACJE DOTYCZĄCE GRUNTU I ZAGOSPODAROWANIA PRZESTRZENNEGO TERENU</w:t>
            </w:r>
            <w:r w:rsidDel="00000000" w:rsidR="00000000" w:rsidRPr="00000000">
              <w:rPr>
                <w:rtl w:val="0"/>
              </w:rPr>
            </w:r>
          </w:p>
        </w:tc>
      </w:tr>
      <w:tr>
        <w:trPr>
          <w:cantSplit w:val="0"/>
          <w:trHeight w:val="1166" w:hRule="atLeast"/>
          <w:tblHeader w:val="0"/>
        </w:trPr>
        <w:tc>
          <w:tcPr>
            <w:shd w:fill="f3f3f3" w:val="clear"/>
            <w:vAlign w:val="top"/>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Adres, numer działki ewidencyjnej i numer obrębu ewidencyjnego</w:t>
            </w:r>
          </w:p>
        </w:tc>
        <w:tc>
          <w:tcPr>
            <w:gridSpan w:val="4"/>
            <w:vAlign w:val="center"/>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Mierzyn, ul. Zgodna , działka numer 14/30, 14/31, 14/32, 14/33 i 14/34 Mierzyn , gmina Dobra (pow. 3002 m2) oraz udział 1/18 w  działce drogowej nr 14/26 (pow. 165 m2) </w:t>
            </w:r>
            <w:r w:rsidDel="00000000" w:rsidR="00000000" w:rsidRPr="00000000">
              <w:rPr>
                <w:rtl w:val="0"/>
              </w:rPr>
            </w:r>
          </w:p>
        </w:tc>
      </w:tr>
      <w:tr>
        <w:trPr>
          <w:cantSplit w:val="0"/>
          <w:trHeight w:val="700" w:hRule="atLeast"/>
          <w:tblHeader w:val="0"/>
        </w:trPr>
        <w:tc>
          <w:tcPr>
            <w:shd w:fill="f3f3f3" w:val="clear"/>
            <w:vAlign w:val="top"/>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Nr księgi wieczystej </w:t>
            </w:r>
          </w:p>
        </w:tc>
        <w:tc>
          <w:tcPr>
            <w:gridSpan w:val="4"/>
            <w:vAlign w:val="top"/>
          </w:tcPr>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SZ2S/00027326/5 i SZ2S/00031981/5</w:t>
            </w: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ff0000"/>
                <w:sz w:val="20"/>
                <w:szCs w:val="20"/>
                <w:u w:val="none"/>
                <w:shd w:fill="auto" w:val="clear"/>
                <w:vertAlign w:val="baseline"/>
              </w:rPr>
            </w:pPr>
            <w:r w:rsidDel="00000000" w:rsidR="00000000" w:rsidRPr="00000000">
              <w:rPr>
                <w:rtl w:val="0"/>
              </w:rPr>
            </w:r>
          </w:p>
        </w:tc>
      </w:tr>
      <w:tr>
        <w:trPr>
          <w:cantSplit w:val="0"/>
          <w:trHeight w:val="1416" w:hRule="atLeast"/>
          <w:tblHeader w:val="0"/>
        </w:trPr>
        <w:tc>
          <w:tcPr>
            <w:shd w:fill="f3f3f3" w:val="clear"/>
            <w:vAlign w:val="top"/>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Istniejące obciążenia hipoteczne nieruchomości lub wnioski o wpis w dziale czwartym księgi wieczystej</w:t>
            </w:r>
          </w:p>
        </w:tc>
        <w:tc>
          <w:tcPr>
            <w:gridSpan w:val="4"/>
            <w:vAlign w:val="top"/>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BRAK</w:t>
            </w:r>
          </w:p>
        </w:tc>
      </w:tr>
      <w:tr>
        <w:trPr>
          <w:cantSplit w:val="0"/>
          <w:trHeight w:val="97" w:hRule="atLeast"/>
          <w:tblHeader w:val="0"/>
        </w:trPr>
        <w:tc>
          <w:tcPr>
            <w:shd w:fill="f3f3f3" w:val="clear"/>
            <w:vAlign w:val="top"/>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 przypadku braku księgi wieczystej informacja o powierzchni działki i stanie prawnym nieruchomości</w:t>
            </w:r>
          </w:p>
        </w:tc>
        <w:tc>
          <w:tcPr>
            <w:gridSpan w:val="4"/>
            <w:vAlign w:val="top"/>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Nie dotyczy.</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97" w:hRule="atLeast"/>
          <w:tblHeader w:val="0"/>
        </w:trPr>
        <w:tc>
          <w:tcPr>
            <w:shd w:fill="f3f3f3" w:val="clear"/>
            <w:vAlign w:val="top"/>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Informacje dotyczące obiektów istniejących położonych w sąsiedztwie inwestycji i wpływające na warunki życia.</w:t>
            </w:r>
          </w:p>
        </w:tc>
        <w:tc>
          <w:tcPr>
            <w:gridSpan w:val="4"/>
            <w:vAlign w:val="top"/>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 rejonie nieruchomości objętej przedsięwzięciem deweloperskim – NIE WYSTĘPUJĄ INWESTYCJE WPŁYWAJĄCE NEGATYWNIE NA WARUNKI ŻYCIA</w:t>
            </w:r>
          </w:p>
        </w:tc>
      </w:tr>
      <w:tr>
        <w:trPr>
          <w:cantSplit w:val="1"/>
          <w:trHeight w:val="564" w:hRule="atLeast"/>
          <w:tblHeader w:val="0"/>
        </w:trPr>
        <w:tc>
          <w:tcPr>
            <w:vMerge w:val="restart"/>
            <w:shd w:fill="f3f3f3" w:val="clear"/>
            <w:vAlign w:val="top"/>
          </w:tcPr>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Akty planowania przestrzennego i inne akty prawne na terenie objętym Przedsięwzięciem deweloperskim lub zadaniem inwestycyjnym</w:t>
            </w:r>
          </w:p>
        </w:tc>
        <w:tc>
          <w:tcPr>
            <w:gridSpan w:val="2"/>
            <w:vAlign w:val="top"/>
          </w:tcPr>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Plan ogólny Gminy</w:t>
            </w:r>
          </w:p>
        </w:tc>
        <w:tc>
          <w:tcPr>
            <w:gridSpan w:val="2"/>
            <w:vMerge w:val="restart"/>
            <w:vAlign w:val="center"/>
          </w:tcPr>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Brak planu zagospodarowania przestrzennego </w:t>
            </w: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564" w:hRule="atLeast"/>
          <w:tblHeader w:val="0"/>
        </w:trPr>
        <w:tc>
          <w:tcPr>
            <w:vMerge w:val="continue"/>
            <w:shd w:fill="f3f3f3" w:val="clear"/>
            <w:vAlign w:val="top"/>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Miejscowy plan zagospodarowania przestrzennego</w:t>
            </w:r>
          </w:p>
        </w:tc>
        <w:tc>
          <w:tcPr>
            <w:gridSpan w:val="2"/>
            <w:vMerge w:val="continue"/>
            <w:vAlign w:val="center"/>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564" w:hRule="atLeast"/>
          <w:tblHeader w:val="0"/>
        </w:trPr>
        <w:tc>
          <w:tcPr>
            <w:vMerge w:val="continue"/>
            <w:shd w:fill="f3f3f3" w:val="clear"/>
            <w:vAlign w:val="top"/>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Miejscowy plan odbudowy</w:t>
            </w:r>
          </w:p>
        </w:tc>
        <w:tc>
          <w:tcPr>
            <w:gridSpan w:val="2"/>
            <w:vMerge w:val="continue"/>
            <w:vAlign w:val="center"/>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564" w:hRule="atLeast"/>
          <w:tblHeader w:val="0"/>
        </w:trPr>
        <w:tc>
          <w:tcPr>
            <w:vMerge w:val="continue"/>
            <w:shd w:fill="f3f3f3" w:val="clear"/>
            <w:vAlign w:val="top"/>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Inne</w:t>
            </w:r>
          </w:p>
        </w:tc>
        <w:tc>
          <w:tcPr>
            <w:gridSpan w:val="2"/>
            <w:vMerge w:val="continue"/>
            <w:vAlign w:val="center"/>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246" w:hRule="atLeast"/>
          <w:tblHeader w:val="0"/>
        </w:trPr>
        <w:tc>
          <w:tcPr>
            <w:vMerge w:val="restart"/>
            <w:shd w:fill="f3f3f3" w:val="clear"/>
            <w:vAlign w:val="top"/>
          </w:tcPr>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Ustalenia obowiązującego miejscowego planu zagospodarowania przestrzennego dla terenu objętego przedsięwzięciem deweloperskim lub zadaniem inwestycyjnym</w:t>
            </w:r>
          </w:p>
        </w:tc>
        <w:tc>
          <w:tcPr>
            <w:gridSpan w:val="2"/>
            <w:vAlign w:val="top"/>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Przeznaczenie terenu</w:t>
            </w:r>
          </w:p>
        </w:tc>
        <w:tc>
          <w:tcPr>
            <w:gridSpan w:val="2"/>
            <w:vAlign w:val="top"/>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Brak</w:t>
            </w:r>
          </w:p>
        </w:tc>
      </w:tr>
      <w:tr>
        <w:trPr>
          <w:cantSplit w:val="1"/>
          <w:trHeight w:val="243" w:hRule="atLeast"/>
          <w:tblHeader w:val="0"/>
        </w:trPr>
        <w:tc>
          <w:tcPr>
            <w:vMerge w:val="continue"/>
            <w:shd w:fill="f3f3f3" w:val="clear"/>
            <w:vAlign w:val="top"/>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Maksymalna intensywność zabudowy</w:t>
            </w:r>
          </w:p>
        </w:tc>
        <w:tc>
          <w:tcPr>
            <w:gridSpan w:val="2"/>
            <w:vAlign w:val="top"/>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Brak </w:t>
            </w:r>
          </w:p>
        </w:tc>
      </w:tr>
      <w:tr>
        <w:trPr>
          <w:cantSplit w:val="1"/>
          <w:trHeight w:val="1931" w:hRule="atLeast"/>
          <w:tblHeader w:val="0"/>
        </w:trPr>
        <w:tc>
          <w:tcPr>
            <w:vMerge w:val="continue"/>
            <w:shd w:fill="f3f3f3" w:val="clear"/>
            <w:vAlign w:val="top"/>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Maksymalna i minimalna nadziemna</w:t>
            </w:r>
            <w:r w:rsidDel="00000000" w:rsidR="00000000" w:rsidRPr="00000000">
              <w:rPr>
                <w:rFonts w:ascii="Times New Roman" w:cs="Times New Roman" w:eastAsia="Times New Roman" w:hAnsi="Times New Roman"/>
                <w:b w:val="0"/>
                <w:bCs w:val="0"/>
                <w:i w:val="0"/>
                <w:iCs w:val="0"/>
                <w:smallCaps w:val="0"/>
                <w:strike w:val="0"/>
                <w:color w:val="ff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intensywność zabudowy</w:t>
            </w:r>
          </w:p>
        </w:tc>
        <w:tc>
          <w:tcPr>
            <w:gridSpan w:val="2"/>
            <w:vAlign w:val="top"/>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Brak </w:t>
            </w:r>
          </w:p>
        </w:tc>
      </w:tr>
      <w:tr>
        <w:trPr>
          <w:cantSplit w:val="1"/>
          <w:trHeight w:val="243" w:hRule="atLeast"/>
          <w:tblHeader w:val="0"/>
        </w:trPr>
        <w:tc>
          <w:tcPr>
            <w:vMerge w:val="continue"/>
            <w:shd w:fill="f3f3f3" w:val="clear"/>
            <w:vAlign w:val="top"/>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Maksymalna powierzchnia zabudowy</w:t>
            </w:r>
          </w:p>
        </w:tc>
        <w:tc>
          <w:tcPr>
            <w:gridSpan w:val="2"/>
            <w:vAlign w:val="top"/>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Brak</w:t>
            </w:r>
          </w:p>
        </w:tc>
      </w:tr>
      <w:tr>
        <w:trPr>
          <w:cantSplit w:val="1"/>
          <w:trHeight w:val="234" w:hRule="atLeast"/>
          <w:tblHeader w:val="0"/>
        </w:trPr>
        <w:tc>
          <w:tcPr>
            <w:vMerge w:val="continue"/>
            <w:shd w:fill="f3f3f3" w:val="clear"/>
            <w:vAlign w:val="top"/>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Maksymalna wysokość zabudowy</w:t>
            </w:r>
          </w:p>
        </w:tc>
        <w:tc>
          <w:tcPr>
            <w:gridSpan w:val="2"/>
            <w:vAlign w:val="top"/>
          </w:tcPr>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Brak</w:t>
            </w:r>
          </w:p>
        </w:tc>
      </w:tr>
      <w:tr>
        <w:trPr>
          <w:cantSplit w:val="1"/>
          <w:trHeight w:val="234" w:hRule="atLeast"/>
          <w:tblHeader w:val="0"/>
        </w:trPr>
        <w:tc>
          <w:tcPr>
            <w:vMerge w:val="continue"/>
            <w:shd w:fill="f3f3f3" w:val="clear"/>
            <w:vAlign w:val="top"/>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Minimalny udział procentowy powierzchni biologicznie czynnej</w:t>
            </w:r>
          </w:p>
        </w:tc>
        <w:tc>
          <w:tcPr>
            <w:gridSpan w:val="2"/>
            <w:vAlign w:val="top"/>
          </w:tcPr>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Brak</w:t>
            </w:r>
          </w:p>
        </w:tc>
      </w:tr>
      <w:tr>
        <w:trPr>
          <w:cantSplit w:val="1"/>
          <w:trHeight w:val="243" w:hRule="atLeast"/>
          <w:tblHeader w:val="0"/>
        </w:trPr>
        <w:tc>
          <w:tcPr>
            <w:vMerge w:val="continue"/>
            <w:shd w:fill="f3f3f3" w:val="clear"/>
            <w:vAlign w:val="top"/>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Minimalna liczba miejsc do parkowania</w:t>
            </w:r>
          </w:p>
        </w:tc>
        <w:tc>
          <w:tcPr>
            <w:gridSpan w:val="2"/>
            <w:vAlign w:val="top"/>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Brak</w:t>
            </w:r>
          </w:p>
        </w:tc>
      </w:tr>
      <w:tr>
        <w:trPr>
          <w:cantSplit w:val="1"/>
          <w:trHeight w:val="243" w:hRule="atLeast"/>
          <w:tblHeader w:val="0"/>
        </w:trPr>
        <w:tc>
          <w:tcPr>
            <w:vMerge w:val="continue"/>
            <w:shd w:fill="f3f3f3" w:val="clear"/>
            <w:vAlign w:val="top"/>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Warunki ochrony środowiska i zdrowia ludzi, przyrody i krajobrazu</w:t>
            </w:r>
          </w:p>
        </w:tc>
        <w:tc>
          <w:tcPr>
            <w:gridSpan w:val="2"/>
            <w:vAlign w:val="top"/>
          </w:tcPr>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Brak </w:t>
            </w:r>
          </w:p>
        </w:tc>
      </w:tr>
      <w:tr>
        <w:trPr>
          <w:cantSplit w:val="1"/>
          <w:trHeight w:val="243" w:hRule="atLeast"/>
          <w:tblHeader w:val="0"/>
        </w:trPr>
        <w:tc>
          <w:tcPr>
            <w:vMerge w:val="continue"/>
            <w:shd w:fill="f3f3f3" w:val="clear"/>
            <w:vAlign w:val="top"/>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Wymagania dotyczące zabudowy i zagospodarowania terenu położonego na obszarach szczególnego zagrożenia powodzią</w:t>
            </w:r>
          </w:p>
        </w:tc>
        <w:tc>
          <w:tcPr>
            <w:gridSpan w:val="2"/>
            <w:vAlign w:val="top"/>
          </w:tcPr>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Brak</w:t>
            </w:r>
          </w:p>
        </w:tc>
      </w:tr>
      <w:tr>
        <w:trPr>
          <w:cantSplit w:val="1"/>
          <w:trHeight w:val="243" w:hRule="atLeast"/>
          <w:tblHeader w:val="0"/>
        </w:trPr>
        <w:tc>
          <w:tcPr>
            <w:vMerge w:val="continue"/>
            <w:shd w:fill="f3f3f3" w:val="clear"/>
            <w:vAlign w:val="top"/>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Warunki ochrony dziedzictwa kulturowego i zabytków oraz dóbr kultury współczesnej</w:t>
            </w:r>
          </w:p>
        </w:tc>
        <w:tc>
          <w:tcPr>
            <w:gridSpan w:val="2"/>
            <w:vAlign w:val="top"/>
          </w:tcPr>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Brak</w:t>
            </w:r>
          </w:p>
        </w:tc>
      </w:tr>
      <w:tr>
        <w:trPr>
          <w:cantSplit w:val="1"/>
          <w:trHeight w:val="243" w:hRule="atLeast"/>
          <w:tblHeader w:val="0"/>
        </w:trPr>
        <w:tc>
          <w:tcPr>
            <w:vMerge w:val="continue"/>
            <w:shd w:fill="f3f3f3" w:val="clear"/>
            <w:vAlign w:val="top"/>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Wymagania dotyczące ochrony innych terenów lub obiektów podlegających ochronie na podstawie przepisów odrębnych</w:t>
            </w:r>
          </w:p>
        </w:tc>
        <w:tc>
          <w:tcPr>
            <w:gridSpan w:val="2"/>
            <w:vAlign w:val="top"/>
          </w:tcPr>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Brak</w:t>
            </w:r>
          </w:p>
        </w:tc>
      </w:tr>
      <w:tr>
        <w:trPr>
          <w:cantSplit w:val="1"/>
          <w:trHeight w:val="243" w:hRule="atLeast"/>
          <w:tblHeader w:val="0"/>
        </w:trPr>
        <w:tc>
          <w:tcPr>
            <w:vMerge w:val="continue"/>
            <w:shd w:fill="f3f3f3" w:val="clear"/>
            <w:vAlign w:val="top"/>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Warunki i szczegółowe zasady obsługi w zakresie komunikacji</w:t>
            </w:r>
          </w:p>
        </w:tc>
        <w:tc>
          <w:tcPr>
            <w:gridSpan w:val="2"/>
            <w:vAlign w:val="top"/>
          </w:tcPr>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Times New Roman" w:cs="Times New Roman" w:eastAsia="Times New Roman" w:hAnsi="Times New Roman"/>
                <w:b w:val="0"/>
                <w:bCs w:val="0"/>
                <w:i w:val="0"/>
                <w:iCs w:val="0"/>
                <w:smallCaps w:val="0"/>
                <w:strike w:val="0"/>
                <w:color w:val="ff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Brak </w:t>
            </w:r>
            <w:r w:rsidDel="00000000" w:rsidR="00000000" w:rsidRPr="00000000">
              <w:rPr>
                <w:rtl w:val="0"/>
              </w:rPr>
            </w:r>
          </w:p>
        </w:tc>
      </w:tr>
      <w:tr>
        <w:trPr>
          <w:cantSplit w:val="1"/>
          <w:trHeight w:val="243" w:hRule="atLeast"/>
          <w:tblHeader w:val="0"/>
        </w:trPr>
        <w:tc>
          <w:tcPr>
            <w:vMerge w:val="continue"/>
            <w:shd w:fill="f3f3f3" w:val="clear"/>
            <w:vAlign w:val="top"/>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ff0000"/>
                <w:sz w:val="20"/>
                <w:szCs w:val="20"/>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Warunki i szczegółowe zasady obsługi w zakresie infrastruktury technicznej</w:t>
            </w:r>
          </w:p>
        </w:tc>
        <w:tc>
          <w:tcPr>
            <w:gridSpan w:val="2"/>
            <w:vAlign w:val="top"/>
          </w:tcPr>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Times New Roman" w:cs="Times New Roman" w:eastAsia="Times New Roman" w:hAnsi="Times New Roman"/>
                <w:b w:val="0"/>
                <w:bCs w:val="0"/>
                <w:i w:val="0"/>
                <w:iCs w:val="0"/>
                <w:smallCaps w:val="0"/>
                <w:strike w:val="0"/>
                <w:color w:val="ff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Brak </w:t>
            </w:r>
            <w:r w:rsidDel="00000000" w:rsidR="00000000" w:rsidRPr="00000000">
              <w:rPr>
                <w:rtl w:val="0"/>
              </w:rPr>
            </w:r>
          </w:p>
        </w:tc>
      </w:tr>
      <w:tr>
        <w:trPr>
          <w:cantSplit w:val="1"/>
          <w:trHeight w:val="390" w:hRule="atLeast"/>
          <w:tblHeader w:val="0"/>
        </w:trPr>
        <w:tc>
          <w:tcPr>
            <w:vMerge w:val="restart"/>
            <w:shd w:fill="f3f3f3" w:val="clear"/>
            <w:vAlign w:val="top"/>
          </w:tcPr>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12"/>
              </w:tabs>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Ustalenia obowiązującego miejscowego planu zagospodarowania przestrzennego dla działek lub ich fragmentów, znajdujących się w odległości do 100 m od granicy terenu objętego przedsięwzięciem deweloperskim lub zadaniem inwestycyjnym</w:t>
            </w:r>
          </w:p>
        </w:tc>
        <w:tc>
          <w:tcPr>
            <w:gridSpan w:val="2"/>
            <w:vAlign w:val="top"/>
          </w:tcPr>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Przeznaczenie terenu</w:t>
            </w:r>
          </w:p>
        </w:tc>
        <w:tc>
          <w:tcPr>
            <w:gridSpan w:val="2"/>
            <w:vAlign w:val="top"/>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Times New Roman" w:cs="Times New Roman" w:eastAsia="Times New Roman" w:hAnsi="Times New Roman"/>
                <w:b w:val="0"/>
                <w:bCs w:val="0"/>
                <w:i w:val="0"/>
                <w:iCs w:val="0"/>
                <w:smallCaps w:val="0"/>
                <w:strike w:val="0"/>
                <w:color w:val="ff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Brak </w:t>
            </w:r>
            <w:r w:rsidDel="00000000" w:rsidR="00000000" w:rsidRPr="00000000">
              <w:rPr>
                <w:rtl w:val="0"/>
              </w:rPr>
            </w:r>
          </w:p>
        </w:tc>
      </w:tr>
      <w:tr>
        <w:trPr>
          <w:cantSplit w:val="1"/>
          <w:trHeight w:val="220" w:hRule="atLeast"/>
          <w:tblHeader w:val="0"/>
        </w:trPr>
        <w:tc>
          <w:tcPr>
            <w:vMerge w:val="continue"/>
            <w:shd w:fill="f3f3f3" w:val="clear"/>
            <w:vAlign w:val="top"/>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ff0000"/>
                <w:sz w:val="20"/>
                <w:szCs w:val="20"/>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Maksymalna intensywność zabudowy</w:t>
            </w:r>
          </w:p>
        </w:tc>
        <w:tc>
          <w:tcPr>
            <w:gridSpan w:val="2"/>
            <w:vAlign w:val="top"/>
          </w:tcPr>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Times New Roman" w:cs="Times New Roman" w:eastAsia="Times New Roman" w:hAnsi="Times New Roman"/>
                <w:b w:val="0"/>
                <w:bCs w:val="0"/>
                <w:i w:val="0"/>
                <w:iCs w:val="0"/>
                <w:smallCaps w:val="0"/>
                <w:strike w:val="0"/>
                <w:color w:val="ff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Brak </w:t>
            </w:r>
            <w:r w:rsidDel="00000000" w:rsidR="00000000" w:rsidRPr="00000000">
              <w:rPr>
                <w:rtl w:val="0"/>
              </w:rPr>
            </w:r>
          </w:p>
        </w:tc>
      </w:tr>
      <w:tr>
        <w:trPr>
          <w:cantSplit w:val="1"/>
          <w:trHeight w:val="219" w:hRule="atLeast"/>
          <w:tblHeader w:val="0"/>
        </w:trPr>
        <w:tc>
          <w:tcPr>
            <w:vMerge w:val="continue"/>
            <w:shd w:fill="f3f3f3" w:val="clear"/>
            <w:vAlign w:val="top"/>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ff0000"/>
                <w:sz w:val="20"/>
                <w:szCs w:val="20"/>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Maksymalna i minimalna nadziemna intensywność zabudowy</w:t>
            </w:r>
          </w:p>
        </w:tc>
        <w:tc>
          <w:tcPr>
            <w:gridSpan w:val="2"/>
            <w:vAlign w:val="top"/>
          </w:tcPr>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Brak</w:t>
            </w:r>
          </w:p>
        </w:tc>
      </w:tr>
      <w:tr>
        <w:trPr>
          <w:cantSplit w:val="1"/>
          <w:trHeight w:val="707" w:hRule="atLeast"/>
          <w:tblHeader w:val="0"/>
        </w:trPr>
        <w:tc>
          <w:tcPr>
            <w:vMerge w:val="continue"/>
            <w:shd w:fill="f3f3f3" w:val="clear"/>
            <w:vAlign w:val="top"/>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Maksymalna powierzchnia zabudowy</w:t>
            </w:r>
          </w:p>
        </w:tc>
        <w:tc>
          <w:tcPr>
            <w:gridSpan w:val="2"/>
            <w:vAlign w:val="top"/>
          </w:tcPr>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Times New Roman" w:cs="Times New Roman" w:eastAsia="Times New Roman" w:hAnsi="Times New Roman"/>
                <w:b w:val="0"/>
                <w:bCs w:val="0"/>
                <w:i w:val="0"/>
                <w:iCs w:val="0"/>
                <w:smallCaps w:val="0"/>
                <w:strike w:val="0"/>
                <w:color w:val="ff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Brak </w:t>
            </w:r>
            <w:r w:rsidDel="00000000" w:rsidR="00000000" w:rsidRPr="00000000">
              <w:rPr>
                <w:rtl w:val="0"/>
              </w:rPr>
            </w:r>
          </w:p>
        </w:tc>
      </w:tr>
      <w:tr>
        <w:trPr>
          <w:cantSplit w:val="1"/>
          <w:trHeight w:val="390" w:hRule="atLeast"/>
          <w:tblHeader w:val="0"/>
        </w:trPr>
        <w:tc>
          <w:tcPr>
            <w:vMerge w:val="continue"/>
            <w:shd w:fill="f3f3f3" w:val="clear"/>
            <w:vAlign w:val="top"/>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ff0000"/>
                <w:sz w:val="20"/>
                <w:szCs w:val="20"/>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Maksymalna wysokość zabudowy</w:t>
            </w:r>
          </w:p>
        </w:tc>
        <w:tc>
          <w:tcPr>
            <w:gridSpan w:val="2"/>
            <w:vAlign w:val="top"/>
          </w:tcPr>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Times New Roman" w:cs="Times New Roman" w:eastAsia="Times New Roman" w:hAnsi="Times New Roman"/>
                <w:b w:val="0"/>
                <w:bCs w:val="0"/>
                <w:i w:val="0"/>
                <w:iCs w:val="0"/>
                <w:smallCaps w:val="0"/>
                <w:strike w:val="0"/>
                <w:color w:val="ff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Brak </w:t>
            </w:r>
            <w:r w:rsidDel="00000000" w:rsidR="00000000" w:rsidRPr="00000000">
              <w:rPr>
                <w:rtl w:val="0"/>
              </w:rPr>
            </w:r>
          </w:p>
        </w:tc>
      </w:tr>
      <w:tr>
        <w:trPr>
          <w:cantSplit w:val="1"/>
          <w:trHeight w:val="390" w:hRule="atLeast"/>
          <w:tblHeader w:val="0"/>
        </w:trPr>
        <w:tc>
          <w:tcPr>
            <w:vMerge w:val="continue"/>
            <w:shd w:fill="f3f3f3" w:val="clear"/>
            <w:vAlign w:val="top"/>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ff0000"/>
                <w:sz w:val="20"/>
                <w:szCs w:val="20"/>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Minimalny udział procentowy powierzchni biologicznie czynnej</w:t>
            </w:r>
          </w:p>
        </w:tc>
        <w:tc>
          <w:tcPr>
            <w:gridSpan w:val="2"/>
            <w:vAlign w:val="top"/>
          </w:tcPr>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Times New Roman" w:cs="Times New Roman" w:eastAsia="Times New Roman" w:hAnsi="Times New Roman"/>
                <w:b w:val="0"/>
                <w:bCs w:val="0"/>
                <w:i w:val="0"/>
                <w:iCs w:val="0"/>
                <w:smallCaps w:val="0"/>
                <w:strike w:val="0"/>
                <w:color w:val="ff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Brak </w:t>
            </w:r>
            <w:r w:rsidDel="00000000" w:rsidR="00000000" w:rsidRPr="00000000">
              <w:rPr>
                <w:rtl w:val="0"/>
              </w:rPr>
            </w:r>
          </w:p>
        </w:tc>
      </w:tr>
      <w:tr>
        <w:trPr>
          <w:cantSplit w:val="1"/>
          <w:trHeight w:val="390" w:hRule="atLeast"/>
          <w:tblHeader w:val="0"/>
        </w:trPr>
        <w:tc>
          <w:tcPr>
            <w:vMerge w:val="continue"/>
            <w:shd w:fill="f3f3f3" w:val="clear"/>
            <w:vAlign w:val="top"/>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ff0000"/>
                <w:sz w:val="20"/>
                <w:szCs w:val="20"/>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Minimalna liczba miejsc do parkowania</w:t>
            </w:r>
          </w:p>
        </w:tc>
        <w:tc>
          <w:tcPr>
            <w:gridSpan w:val="2"/>
            <w:vAlign w:val="top"/>
          </w:tcPr>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Times New Roman" w:cs="Times New Roman" w:eastAsia="Times New Roman" w:hAnsi="Times New Roman"/>
                <w:b w:val="0"/>
                <w:bCs w:val="0"/>
                <w:i w:val="0"/>
                <w:iCs w:val="0"/>
                <w:smallCaps w:val="0"/>
                <w:strike w:val="0"/>
                <w:color w:val="ff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Brak </w:t>
            </w:r>
            <w:r w:rsidDel="00000000" w:rsidR="00000000" w:rsidRPr="00000000">
              <w:rPr>
                <w:rtl w:val="0"/>
              </w:rPr>
            </w:r>
          </w:p>
        </w:tc>
      </w:tr>
      <w:tr>
        <w:trPr>
          <w:cantSplit w:val="1"/>
          <w:trHeight w:val="390" w:hRule="atLeast"/>
          <w:tblHeader w:val="0"/>
        </w:trPr>
        <w:tc>
          <w:tcPr>
            <w:vMerge w:val="restart"/>
            <w:shd w:fill="f3f3f3" w:val="clear"/>
            <w:vAlign w:val="top"/>
          </w:tcPr>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12"/>
              </w:tabs>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Ustalenia decyzji o warunkach zabudowy albo decyzji o ustaleniu lokalizacji inwestycji celu publicznego dla terenu objętego przedsięwzięciem deweloperskim lub zadaniem inwestycyjnym w przypadku braku miejscowego planu zagospodarowania przestrzennego</w:t>
            </w:r>
          </w:p>
        </w:tc>
        <w:tc>
          <w:tcPr>
            <w:gridSpan w:val="2"/>
            <w:vAlign w:val="center"/>
          </w:tcPr>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Funkcja zabudowy i zagospodarowania terenu</w:t>
            </w:r>
          </w:p>
        </w:tc>
        <w:tc>
          <w:tcPr>
            <w:gridSpan w:val="2"/>
            <w:vAlign w:val="top"/>
          </w:tcPr>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Sposób użytkowania obiektów budowlanych oraz zagospodarowania terenu</w:t>
            </w:r>
          </w:p>
        </w:tc>
      </w:tr>
      <w:tr>
        <w:trPr>
          <w:cantSplit w:val="1"/>
          <w:trHeight w:val="390" w:hRule="atLeast"/>
          <w:tblHeader w:val="0"/>
        </w:trPr>
        <w:tc>
          <w:tcPr>
            <w:vMerge w:val="continue"/>
            <w:shd w:fill="f3f3f3" w:val="clear"/>
            <w:vAlign w:val="top"/>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4"/>
            <w:vAlign w:val="center"/>
          </w:tcPr>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Cechy zabudowy i zagospodarowania terenu:</w:t>
            </w:r>
          </w:p>
        </w:tc>
      </w:tr>
      <w:tr>
        <w:trPr>
          <w:cantSplit w:val="1"/>
          <w:trHeight w:val="390" w:hRule="atLeast"/>
          <w:tblHeader w:val="0"/>
        </w:trPr>
        <w:tc>
          <w:tcPr>
            <w:vMerge w:val="continue"/>
            <w:shd w:fill="f3f3f3" w:val="clear"/>
            <w:vAlign w:val="top"/>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vAlign w:val="center"/>
          </w:tcPr>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Gabaryty</w:t>
            </w:r>
          </w:p>
        </w:tc>
        <w:tc>
          <w:tcPr>
            <w:gridSpan w:val="2"/>
            <w:vAlign w:val="top"/>
          </w:tcPr>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elewacja frontowa od 10,9m do 16,3mm</w:t>
            </w:r>
          </w:p>
        </w:tc>
      </w:tr>
      <w:tr>
        <w:trPr>
          <w:cantSplit w:val="1"/>
          <w:trHeight w:val="390" w:hRule="atLeast"/>
          <w:tblHeader w:val="0"/>
        </w:trPr>
        <w:tc>
          <w:tcPr>
            <w:vMerge w:val="continue"/>
            <w:shd w:fill="f3f3f3" w:val="clear"/>
            <w:vAlign w:val="top"/>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vAlign w:val="center"/>
          </w:tcPr>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forma architektoniczna</w:t>
            </w:r>
          </w:p>
        </w:tc>
        <w:tc>
          <w:tcPr>
            <w:gridSpan w:val="2"/>
            <w:vAlign w:val="top"/>
          </w:tcPr>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zabudowa wolnostojąca, maksymalnie dwie kondygnacje nadziemne, dach stromy dwuspadowy lub wielospadowy, kąt nachylenia połaci 25-40 stopni</w:t>
            </w:r>
          </w:p>
        </w:tc>
      </w:tr>
      <w:tr>
        <w:trPr>
          <w:cantSplit w:val="1"/>
          <w:trHeight w:val="390" w:hRule="atLeast"/>
          <w:tblHeader w:val="0"/>
        </w:trPr>
        <w:tc>
          <w:tcPr>
            <w:vMerge w:val="continue"/>
            <w:shd w:fill="f3f3f3" w:val="clear"/>
            <w:vAlign w:val="top"/>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vAlign w:val="center"/>
          </w:tcPr>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usytuowanie linii zabudowy</w:t>
            </w:r>
          </w:p>
        </w:tc>
        <w:tc>
          <w:tcPr>
            <w:gridSpan w:val="2"/>
            <w:vAlign w:val="top"/>
          </w:tcPr>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60 m od granicy z działką 14/19</w:t>
            </w:r>
          </w:p>
        </w:tc>
      </w:tr>
      <w:tr>
        <w:trPr>
          <w:cantSplit w:val="1"/>
          <w:trHeight w:val="390" w:hRule="atLeast"/>
          <w:tblHeader w:val="0"/>
        </w:trPr>
        <w:tc>
          <w:tcPr>
            <w:vMerge w:val="continue"/>
            <w:shd w:fill="f3f3f3" w:val="clear"/>
            <w:vAlign w:val="top"/>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vAlign w:val="center"/>
          </w:tcPr>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intensywność wykorzystania terenu</w:t>
            </w:r>
          </w:p>
        </w:tc>
        <w:tc>
          <w:tcPr>
            <w:gridSpan w:val="2"/>
            <w:vAlign w:val="top"/>
          </w:tcPr>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Maks. powierzchnia zabudowy 19,3%</w:t>
            </w:r>
          </w:p>
        </w:tc>
      </w:tr>
      <w:tr>
        <w:trPr>
          <w:cantSplit w:val="1"/>
          <w:trHeight w:val="390" w:hRule="atLeast"/>
          <w:tblHeader w:val="0"/>
        </w:trPr>
        <w:tc>
          <w:tcPr>
            <w:vMerge w:val="continue"/>
            <w:shd w:fill="f3f3f3" w:val="clear"/>
            <w:vAlign w:val="top"/>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vAlign w:val="center"/>
          </w:tcPr>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warunki ochrony środowiska i zdrowia ludzi, przyrody i krajobrazu</w:t>
            </w:r>
          </w:p>
        </w:tc>
        <w:tc>
          <w:tcPr>
            <w:gridSpan w:val="2"/>
            <w:vAlign w:val="top"/>
          </w:tcPr>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Nie dotyczy</w:t>
            </w:r>
          </w:p>
        </w:tc>
      </w:tr>
      <w:tr>
        <w:trPr>
          <w:cantSplit w:val="1"/>
          <w:trHeight w:val="390" w:hRule="atLeast"/>
          <w:tblHeader w:val="0"/>
        </w:trPr>
        <w:tc>
          <w:tcPr>
            <w:vMerge w:val="continue"/>
            <w:shd w:fill="f3f3f3" w:val="clear"/>
            <w:vAlign w:val="top"/>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vAlign w:val="center"/>
          </w:tcPr>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wymagania dotyczące zabudowy i zagospodarowania terenu położonego na obszarach szczególnego zagrożenia powodzią</w:t>
            </w:r>
          </w:p>
        </w:tc>
        <w:tc>
          <w:tcPr>
            <w:gridSpan w:val="2"/>
            <w:vAlign w:val="top"/>
          </w:tcPr>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Nie dotyczy</w:t>
            </w:r>
          </w:p>
        </w:tc>
      </w:tr>
      <w:tr>
        <w:trPr>
          <w:cantSplit w:val="1"/>
          <w:trHeight w:val="390" w:hRule="atLeast"/>
          <w:tblHeader w:val="0"/>
        </w:trPr>
        <w:tc>
          <w:tcPr>
            <w:vMerge w:val="continue"/>
            <w:shd w:fill="f3f3f3" w:val="clear"/>
            <w:vAlign w:val="top"/>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vAlign w:val="center"/>
          </w:tcPr>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warunki ochrony dziedzictwa kulturowego i zabytków oraz dóbr kultury współczesnej</w:t>
            </w:r>
          </w:p>
        </w:tc>
        <w:tc>
          <w:tcPr>
            <w:gridSpan w:val="2"/>
            <w:vAlign w:val="top"/>
          </w:tcPr>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Teren nie objęty ochroną konserwatorską</w:t>
            </w:r>
          </w:p>
        </w:tc>
      </w:tr>
      <w:tr>
        <w:trPr>
          <w:cantSplit w:val="1"/>
          <w:trHeight w:val="390" w:hRule="atLeast"/>
          <w:tblHeader w:val="0"/>
        </w:trPr>
        <w:tc>
          <w:tcPr>
            <w:vMerge w:val="continue"/>
            <w:shd w:fill="f3f3f3" w:val="clear"/>
            <w:vAlign w:val="top"/>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vAlign w:val="center"/>
          </w:tcPr>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wymagania dotyczące ochrony innych terenów lub obiektów podlegających ochronie na podstawie przepisów odrębnych</w:t>
            </w:r>
          </w:p>
        </w:tc>
        <w:tc>
          <w:tcPr>
            <w:gridSpan w:val="2"/>
            <w:vAlign w:val="top"/>
          </w:tcPr>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Nie dotyczy</w:t>
            </w:r>
          </w:p>
        </w:tc>
      </w:tr>
      <w:tr>
        <w:trPr>
          <w:cantSplit w:val="1"/>
          <w:trHeight w:val="390" w:hRule="atLeast"/>
          <w:tblHeader w:val="0"/>
        </w:trPr>
        <w:tc>
          <w:tcPr>
            <w:vMerge w:val="continue"/>
            <w:shd w:fill="f3f3f3" w:val="clear"/>
            <w:vAlign w:val="top"/>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vAlign w:val="center"/>
          </w:tcPr>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warunki i szczegółowe zasady obsługi w zakresie komunikacji</w:t>
            </w:r>
          </w:p>
        </w:tc>
        <w:tc>
          <w:tcPr>
            <w:gridSpan w:val="2"/>
            <w:vAlign w:val="top"/>
          </w:tcPr>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komunikacja poprzez działkę 14/26 i 14/27 do drogi gminnej o nr działki 312 (ul. Łukasińskiego) </w:t>
            </w:r>
          </w:p>
        </w:tc>
      </w:tr>
      <w:tr>
        <w:trPr>
          <w:cantSplit w:val="1"/>
          <w:trHeight w:val="390" w:hRule="atLeast"/>
          <w:tblHeader w:val="0"/>
        </w:trPr>
        <w:tc>
          <w:tcPr>
            <w:vMerge w:val="continue"/>
            <w:shd w:fill="f3f3f3" w:val="clear"/>
            <w:vAlign w:val="top"/>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vAlign w:val="center"/>
          </w:tcPr>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minimalny udział procentowy powierzchni biologicznie czynnej</w:t>
            </w:r>
          </w:p>
        </w:tc>
        <w:tc>
          <w:tcPr>
            <w:gridSpan w:val="2"/>
            <w:vAlign w:val="top"/>
          </w:tcPr>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50%</w:t>
            </w:r>
          </w:p>
        </w:tc>
      </w:tr>
      <w:tr>
        <w:trPr>
          <w:cantSplit w:val="1"/>
          <w:trHeight w:val="164" w:hRule="atLeast"/>
          <w:tblHeader w:val="0"/>
        </w:trPr>
        <w:tc>
          <w:tcPr>
            <w:vMerge w:val="continue"/>
            <w:shd w:fill="f3f3f3" w:val="clear"/>
            <w:vAlign w:val="top"/>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vAlign w:val="center"/>
          </w:tcPr>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nadziemna intensywność zabudowy</w:t>
            </w:r>
          </w:p>
        </w:tc>
        <w:tc>
          <w:tcPr>
            <w:gridSpan w:val="2"/>
            <w:vAlign w:val="top"/>
          </w:tcPr>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Od 15% do 38,6%</w:t>
            </w:r>
          </w:p>
        </w:tc>
      </w:tr>
      <w:tr>
        <w:trPr>
          <w:cantSplit w:val="1"/>
          <w:trHeight w:val="163" w:hRule="atLeast"/>
          <w:tblHeader w:val="0"/>
        </w:trPr>
        <w:tc>
          <w:tcPr>
            <w:vMerge w:val="continue"/>
            <w:shd w:fill="f3f3f3" w:val="clear"/>
            <w:vAlign w:val="top"/>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vAlign w:val="center"/>
          </w:tcPr>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wysokość zabudowy</w:t>
            </w:r>
          </w:p>
        </w:tc>
        <w:tc>
          <w:tcPr>
            <w:gridSpan w:val="2"/>
            <w:vAlign w:val="top"/>
          </w:tcPr>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maksymalnie 8,2 m</w:t>
            </w:r>
          </w:p>
        </w:tc>
      </w:tr>
      <w:tr>
        <w:trPr>
          <w:cantSplit w:val="1"/>
          <w:trHeight w:val="891" w:hRule="atLeast"/>
          <w:tblHeader w:val="0"/>
        </w:trPr>
        <w:tc>
          <w:tcPr>
            <w:vMerge w:val="continue"/>
            <w:shd w:fill="f3f3f3" w:val="clear"/>
            <w:vAlign w:val="top"/>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vAlign w:val="center"/>
          </w:tcPr>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warunki i szczegółowe zasady obsługi w zakresie infrastruktury technicznej</w:t>
            </w:r>
          </w:p>
        </w:tc>
        <w:tc>
          <w:tcPr>
            <w:gridSpan w:val="2"/>
            <w:vAlign w:val="top"/>
          </w:tcPr>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Nie dotyczy</w:t>
            </w:r>
          </w:p>
        </w:tc>
      </w:tr>
      <w:tr>
        <w:trPr>
          <w:cantSplit w:val="1"/>
          <w:trHeight w:val="390" w:hRule="atLeast"/>
          <w:tblHeader w:val="0"/>
        </w:trPr>
        <w:tc>
          <w:tcPr>
            <w:vMerge w:val="restart"/>
            <w:shd w:fill="f3f3f3" w:val="clear"/>
            <w:vAlign w:val="top"/>
          </w:tcPr>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12"/>
              </w:tabs>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Informacje dotyczące przewidzianych inwestycji w promieniu 1 km od terenu objętego przedsięwzięciem deweloperskim lub zadaniem inwestycyjnym, zawarte w:</w:t>
            </w:r>
          </w:p>
        </w:tc>
        <w:tc>
          <w:tcPr>
            <w:gridSpan w:val="2"/>
            <w:vAlign w:val="top"/>
          </w:tcPr>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miejscowych planach zagospodarowania przestrzennego</w:t>
            </w:r>
          </w:p>
        </w:tc>
        <w:tc>
          <w:tcPr>
            <w:gridSpan w:val="2"/>
            <w:vAlign w:val="top"/>
          </w:tcPr>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Nie dotyczy</w:t>
            </w:r>
          </w:p>
        </w:tc>
      </w:tr>
      <w:tr>
        <w:trPr>
          <w:cantSplit w:val="1"/>
          <w:trHeight w:val="390" w:hRule="atLeast"/>
          <w:tblHeader w:val="0"/>
        </w:trPr>
        <w:tc>
          <w:tcPr>
            <w:vMerge w:val="continue"/>
            <w:shd w:fill="f3f3f3" w:val="clear"/>
            <w:vAlign w:val="top"/>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decyzjach o warunkach zabudowy i zagospodarowania terenu</w:t>
            </w:r>
          </w:p>
        </w:tc>
        <w:tc>
          <w:tcPr>
            <w:gridSpan w:val="2"/>
            <w:vAlign w:val="top"/>
          </w:tcPr>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Nie dotyczy</w:t>
            </w:r>
          </w:p>
        </w:tc>
      </w:tr>
      <w:tr>
        <w:trPr>
          <w:cantSplit w:val="1"/>
          <w:trHeight w:val="390" w:hRule="atLeast"/>
          <w:tblHeader w:val="0"/>
        </w:trPr>
        <w:tc>
          <w:tcPr>
            <w:vMerge w:val="continue"/>
            <w:shd w:fill="f3f3f3" w:val="clear"/>
            <w:vAlign w:val="top"/>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decyzjach o środowiskowych uwarunkowaniach</w:t>
            </w:r>
          </w:p>
        </w:tc>
        <w:tc>
          <w:tcPr>
            <w:gridSpan w:val="2"/>
            <w:vAlign w:val="top"/>
          </w:tcPr>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Nie dotyczy</w:t>
            </w:r>
          </w:p>
        </w:tc>
      </w:tr>
      <w:tr>
        <w:trPr>
          <w:cantSplit w:val="1"/>
          <w:trHeight w:val="390" w:hRule="atLeast"/>
          <w:tblHeader w:val="0"/>
        </w:trPr>
        <w:tc>
          <w:tcPr>
            <w:vMerge w:val="continue"/>
            <w:shd w:fill="f3f3f3" w:val="clear"/>
            <w:vAlign w:val="top"/>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uchwałach o obszarach ograniczonego użytkowania</w:t>
            </w:r>
          </w:p>
        </w:tc>
        <w:tc>
          <w:tcPr>
            <w:gridSpan w:val="2"/>
            <w:vAlign w:val="top"/>
          </w:tcPr>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Nie dotyczy</w:t>
            </w:r>
          </w:p>
        </w:tc>
      </w:tr>
      <w:tr>
        <w:trPr>
          <w:cantSplit w:val="1"/>
          <w:trHeight w:val="390" w:hRule="atLeast"/>
          <w:tblHeader w:val="0"/>
        </w:trPr>
        <w:tc>
          <w:tcPr>
            <w:vMerge w:val="continue"/>
            <w:shd w:fill="f3f3f3" w:val="clear"/>
            <w:vAlign w:val="top"/>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miejscowych planach odbudowy</w:t>
            </w:r>
          </w:p>
        </w:tc>
        <w:tc>
          <w:tcPr>
            <w:gridSpan w:val="2"/>
            <w:vAlign w:val="top"/>
          </w:tcPr>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Nie dotyczy</w:t>
            </w:r>
          </w:p>
        </w:tc>
      </w:tr>
      <w:tr>
        <w:trPr>
          <w:cantSplit w:val="1"/>
          <w:trHeight w:val="390" w:hRule="atLeast"/>
          <w:tblHeader w:val="0"/>
        </w:trPr>
        <w:tc>
          <w:tcPr>
            <w:vMerge w:val="continue"/>
            <w:shd w:fill="f3f3f3" w:val="clear"/>
            <w:vAlign w:val="top"/>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mapach zagrożenia powodziowego i mapach ryzyka powodziowego</w:t>
            </w:r>
          </w:p>
        </w:tc>
        <w:tc>
          <w:tcPr>
            <w:gridSpan w:val="2"/>
            <w:vAlign w:val="top"/>
          </w:tcPr>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Nie dotyczy</w:t>
            </w:r>
          </w:p>
        </w:tc>
      </w:tr>
      <w:tr>
        <w:trPr>
          <w:cantSplit w:val="1"/>
          <w:trHeight w:val="390" w:hRule="atLeast"/>
          <w:tblHeader w:val="0"/>
        </w:trPr>
        <w:tc>
          <w:tcPr>
            <w:vMerge w:val="continue"/>
            <w:shd w:fill="f3f3f3" w:val="clear"/>
            <w:vAlign w:val="top"/>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4"/>
            <w:vAlign w:val="top"/>
          </w:tcPr>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Ustalenia decyzji w zakresie rozmieszczenia inwestycji celu publicznego, mogące mieć znaczenie dla terenu objętego przedsięwzięciem deweloperskim lub zadaniem inwestycyjnym:</w:t>
            </w:r>
          </w:p>
        </w:tc>
      </w:tr>
      <w:tr>
        <w:trPr>
          <w:cantSplit w:val="1"/>
          <w:trHeight w:val="390" w:hRule="atLeast"/>
          <w:tblHeader w:val="0"/>
        </w:trPr>
        <w:tc>
          <w:tcPr>
            <w:vMerge w:val="continue"/>
            <w:shd w:fill="f3f3f3" w:val="clear"/>
            <w:vAlign w:val="top"/>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decyzja o zezwoleniu na realizację inwestycji drogowej</w:t>
            </w:r>
          </w:p>
        </w:tc>
        <w:tc>
          <w:tcPr>
            <w:gridSpan w:val="2"/>
            <w:vAlign w:val="top"/>
          </w:tcPr>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Budowa drogi DK10 wzdłuż ulicy Łukasińskiego </w:t>
            </w:r>
          </w:p>
        </w:tc>
      </w:tr>
      <w:tr>
        <w:trPr>
          <w:cantSplit w:val="1"/>
          <w:trHeight w:val="390" w:hRule="atLeast"/>
          <w:tblHeader w:val="0"/>
        </w:trPr>
        <w:tc>
          <w:tcPr>
            <w:vMerge w:val="continue"/>
            <w:shd w:fill="f3f3f3" w:val="clear"/>
            <w:vAlign w:val="top"/>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decyzja o ustaleniu lokalizacji linii kolejowej</w:t>
            </w:r>
          </w:p>
        </w:tc>
        <w:tc>
          <w:tcPr>
            <w:gridSpan w:val="2"/>
            <w:vAlign w:val="top"/>
          </w:tcPr>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Brak</w:t>
            </w:r>
          </w:p>
        </w:tc>
      </w:tr>
      <w:tr>
        <w:trPr>
          <w:cantSplit w:val="1"/>
          <w:trHeight w:val="390" w:hRule="atLeast"/>
          <w:tblHeader w:val="0"/>
        </w:trPr>
        <w:tc>
          <w:tcPr>
            <w:vMerge w:val="continue"/>
            <w:shd w:fill="f3f3f3" w:val="clear"/>
            <w:vAlign w:val="top"/>
          </w:tcPr>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decyzja o zezwoleniu na realizację inwestycji w zakresie lotniska użytku publicznego</w:t>
            </w:r>
          </w:p>
        </w:tc>
        <w:tc>
          <w:tcPr>
            <w:gridSpan w:val="2"/>
            <w:vAlign w:val="top"/>
          </w:tcPr>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Brak</w:t>
            </w:r>
          </w:p>
        </w:tc>
      </w:tr>
      <w:tr>
        <w:trPr>
          <w:cantSplit w:val="1"/>
          <w:trHeight w:val="390" w:hRule="atLeast"/>
          <w:tblHeader w:val="0"/>
        </w:trPr>
        <w:tc>
          <w:tcPr>
            <w:vMerge w:val="continue"/>
            <w:shd w:fill="f3f3f3" w:val="clear"/>
            <w:vAlign w:val="top"/>
          </w:tcPr>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decyzja o pozwoleniu na realizację inwestycji w zakresie budowli przeciwpowodziowych</w:t>
            </w:r>
          </w:p>
        </w:tc>
        <w:tc>
          <w:tcPr>
            <w:gridSpan w:val="2"/>
            <w:vAlign w:val="top"/>
          </w:tcPr>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Brak</w:t>
            </w:r>
          </w:p>
        </w:tc>
      </w:tr>
      <w:tr>
        <w:trPr>
          <w:cantSplit w:val="1"/>
          <w:trHeight w:val="390" w:hRule="atLeast"/>
          <w:tblHeader w:val="0"/>
        </w:trPr>
        <w:tc>
          <w:tcPr>
            <w:vMerge w:val="continue"/>
            <w:shd w:fill="f3f3f3" w:val="clear"/>
            <w:vAlign w:val="top"/>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decyzja o ustaleniu lokalizacji inwestycji w zakresie budowy obiektu energetyki jądrowej</w:t>
            </w:r>
          </w:p>
        </w:tc>
        <w:tc>
          <w:tcPr>
            <w:gridSpan w:val="2"/>
            <w:vAlign w:val="top"/>
          </w:tcPr>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Brak</w:t>
            </w:r>
          </w:p>
        </w:tc>
      </w:tr>
      <w:tr>
        <w:trPr>
          <w:cantSplit w:val="1"/>
          <w:trHeight w:val="390" w:hRule="atLeast"/>
          <w:tblHeader w:val="0"/>
        </w:trPr>
        <w:tc>
          <w:tcPr>
            <w:vMerge w:val="continue"/>
            <w:shd w:fill="f3f3f3" w:val="clear"/>
            <w:vAlign w:val="top"/>
          </w:tcPr>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decyzja o ustaleniu lokalizacji strategicznej inwestycji w zakresie sieci przesyłowej</w:t>
            </w:r>
          </w:p>
        </w:tc>
        <w:tc>
          <w:tcPr>
            <w:gridSpan w:val="2"/>
            <w:vAlign w:val="top"/>
          </w:tcPr>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Brak</w:t>
            </w:r>
          </w:p>
        </w:tc>
      </w:tr>
      <w:tr>
        <w:trPr>
          <w:cantSplit w:val="1"/>
          <w:trHeight w:val="390" w:hRule="atLeast"/>
          <w:tblHeader w:val="0"/>
        </w:trPr>
        <w:tc>
          <w:tcPr>
            <w:vMerge w:val="continue"/>
            <w:shd w:fill="f3f3f3" w:val="clear"/>
            <w:vAlign w:val="top"/>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decyzja o ustaleniu lokalizacji regionalnej sieci szerokopasmowej</w:t>
            </w:r>
          </w:p>
        </w:tc>
        <w:tc>
          <w:tcPr>
            <w:gridSpan w:val="2"/>
            <w:vAlign w:val="top"/>
          </w:tcPr>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Brak</w:t>
            </w:r>
          </w:p>
        </w:tc>
      </w:tr>
      <w:tr>
        <w:trPr>
          <w:cantSplit w:val="1"/>
          <w:trHeight w:val="390" w:hRule="atLeast"/>
          <w:tblHeader w:val="0"/>
        </w:trPr>
        <w:tc>
          <w:tcPr>
            <w:vMerge w:val="continue"/>
            <w:shd w:fill="f3f3f3" w:val="clear"/>
            <w:vAlign w:val="top"/>
          </w:tcPr>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decyzja o ustaleniu lokalizacji inwestycji w zakresie Centralnego Portu Komunikacyjnego</w:t>
            </w:r>
          </w:p>
        </w:tc>
        <w:tc>
          <w:tcPr>
            <w:gridSpan w:val="2"/>
            <w:vAlign w:val="top"/>
          </w:tcPr>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Brak</w:t>
            </w:r>
          </w:p>
        </w:tc>
      </w:tr>
      <w:tr>
        <w:trPr>
          <w:cantSplit w:val="1"/>
          <w:trHeight w:val="390" w:hRule="atLeast"/>
          <w:tblHeader w:val="0"/>
        </w:trPr>
        <w:tc>
          <w:tcPr>
            <w:vMerge w:val="continue"/>
            <w:shd w:fill="f3f3f3" w:val="clear"/>
            <w:vAlign w:val="top"/>
          </w:tcPr>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decyzja o zezwoleniu na realizację inwestycji w zakresie infrastruktury dostępowej</w:t>
            </w:r>
          </w:p>
        </w:tc>
        <w:tc>
          <w:tcPr>
            <w:gridSpan w:val="2"/>
            <w:vAlign w:val="top"/>
          </w:tcPr>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Brak</w:t>
            </w:r>
          </w:p>
        </w:tc>
      </w:tr>
      <w:tr>
        <w:trPr>
          <w:cantSplit w:val="1"/>
          <w:trHeight w:val="390" w:hRule="atLeast"/>
          <w:tblHeader w:val="0"/>
        </w:trPr>
        <w:tc>
          <w:tcPr>
            <w:vMerge w:val="continue"/>
            <w:shd w:fill="f3f3f3" w:val="clear"/>
            <w:vAlign w:val="top"/>
          </w:tcPr>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decyzja o ustaleniu lokalizacji strategicznej inwestycji w sektorze naftowym</w:t>
            </w:r>
          </w:p>
        </w:tc>
        <w:tc>
          <w:tcPr>
            <w:gridSpan w:val="2"/>
            <w:vAlign w:val="top"/>
          </w:tcPr>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Brak</w:t>
            </w:r>
          </w:p>
        </w:tc>
      </w:tr>
      <w:tr>
        <w:trPr>
          <w:cantSplit w:val="1"/>
          <w:trHeight w:val="390" w:hRule="atLeast"/>
          <w:tblHeader w:val="0"/>
        </w:trPr>
        <w:tc>
          <w:tcPr>
            <w:vMerge w:val="continue"/>
            <w:shd w:fill="f3f3f3" w:val="clear"/>
            <w:vAlign w:val="top"/>
          </w:tcPr>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decyzja o ustaleniu lokalizacji strategicznej inwestycji w sektorze naftowym</w:t>
            </w:r>
          </w:p>
        </w:tc>
        <w:tc>
          <w:tcPr>
            <w:gridSpan w:val="2"/>
            <w:vAlign w:val="top"/>
          </w:tcPr>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Brak</w:t>
            </w:r>
          </w:p>
        </w:tc>
      </w:tr>
      <w:tr>
        <w:trPr>
          <w:cantSplit w:val="0"/>
          <w:trHeight w:val="390" w:hRule="atLeast"/>
          <w:tblHeader w:val="0"/>
        </w:trPr>
        <w:tc>
          <w:tcPr>
            <w:gridSpan w:val="5"/>
            <w:shd w:fill="d9d9d9" w:val="clear"/>
            <w:vAlign w:val="top"/>
          </w:tcPr>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INFORMACJE DOTYCZĄCE BUDYNKU</w:t>
            </w:r>
            <w:r w:rsidDel="00000000" w:rsidR="00000000" w:rsidRPr="00000000">
              <w:rPr>
                <w:rtl w:val="0"/>
              </w:rPr>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90" w:hRule="atLeast"/>
          <w:tblHeader w:val="0"/>
        </w:trPr>
        <w:tc>
          <w:tcPr>
            <w:shd w:fill="f3f3f3" w:val="clear"/>
            <w:vAlign w:val="top"/>
          </w:tcPr>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Czy jest pozwolenie na budowę</w:t>
              <w:br w:type="textWrapping"/>
            </w:r>
          </w:p>
        </w:tc>
        <w:tc>
          <w:tcPr>
            <w:gridSpan w:val="2"/>
            <w:vAlign w:val="center"/>
          </w:tcPr>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tak*</w:t>
            </w:r>
            <w:r w:rsidDel="00000000" w:rsidR="00000000" w:rsidRPr="00000000">
              <w:rPr>
                <w:rtl w:val="0"/>
              </w:rPr>
            </w:r>
          </w:p>
        </w:tc>
        <w:tc>
          <w:tcPr>
            <w:gridSpan w:val="2"/>
            <w:vAlign w:val="center"/>
          </w:tcPr>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1"/>
                <w:color w:val="000000"/>
                <w:sz w:val="20"/>
                <w:szCs w:val="20"/>
                <w:u w:val="none"/>
                <w:shd w:fill="auto" w:val="clear"/>
                <w:vertAlign w:val="baseline"/>
                <w:rtl w:val="0"/>
              </w:rPr>
              <w:t xml:space="preserve">nie*</w:t>
            </w:r>
            <w:r w:rsidDel="00000000" w:rsidR="00000000" w:rsidRPr="00000000">
              <w:rPr>
                <w:rtl w:val="0"/>
              </w:rPr>
            </w:r>
          </w:p>
        </w:tc>
      </w:tr>
      <w:tr>
        <w:trPr>
          <w:cantSplit w:val="0"/>
          <w:trHeight w:val="390" w:hRule="atLeast"/>
          <w:tblHeader w:val="0"/>
        </w:trPr>
        <w:tc>
          <w:tcPr>
            <w:shd w:fill="f3f3f3" w:val="clear"/>
            <w:vAlign w:val="top"/>
          </w:tcPr>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Czy pozwolenie na budowę jest ostateczne</w:t>
            </w:r>
          </w:p>
        </w:tc>
        <w:tc>
          <w:tcPr>
            <w:gridSpan w:val="2"/>
            <w:vAlign w:val="center"/>
          </w:tcPr>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tak*</w:t>
            </w:r>
            <w:r w:rsidDel="00000000" w:rsidR="00000000" w:rsidRPr="00000000">
              <w:rPr>
                <w:rtl w:val="0"/>
              </w:rPr>
            </w:r>
          </w:p>
        </w:tc>
        <w:tc>
          <w:tcPr>
            <w:gridSpan w:val="2"/>
            <w:vAlign w:val="center"/>
          </w:tcPr>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1"/>
                <w:color w:val="000000"/>
                <w:sz w:val="20"/>
                <w:szCs w:val="20"/>
                <w:u w:val="none"/>
                <w:shd w:fill="auto" w:val="clear"/>
                <w:vertAlign w:val="baseline"/>
                <w:rtl w:val="0"/>
              </w:rPr>
              <w:t xml:space="preserve">nie*</w:t>
            </w:r>
            <w:r w:rsidDel="00000000" w:rsidR="00000000" w:rsidRPr="00000000">
              <w:rPr>
                <w:rtl w:val="0"/>
              </w:rPr>
            </w:r>
          </w:p>
        </w:tc>
      </w:tr>
      <w:tr>
        <w:trPr>
          <w:cantSplit w:val="0"/>
          <w:trHeight w:val="390" w:hRule="atLeast"/>
          <w:tblHeader w:val="0"/>
        </w:trPr>
        <w:tc>
          <w:tcPr>
            <w:shd w:fill="f3f3f3" w:val="clear"/>
            <w:vAlign w:val="top"/>
          </w:tcPr>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Czy pozwolenie na budowę jest zaskarżone</w:t>
            </w:r>
          </w:p>
        </w:tc>
        <w:tc>
          <w:tcPr>
            <w:gridSpan w:val="2"/>
            <w:vAlign w:val="top"/>
          </w:tcPr>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1"/>
                <w:color w:val="000000"/>
                <w:sz w:val="20"/>
                <w:szCs w:val="20"/>
                <w:u w:val="none"/>
                <w:shd w:fill="auto" w:val="clear"/>
                <w:vertAlign w:val="baseline"/>
                <w:rtl w:val="0"/>
              </w:rPr>
              <w:t xml:space="preserve">tak*</w:t>
            </w:r>
            <w:r w:rsidDel="00000000" w:rsidR="00000000" w:rsidRPr="00000000">
              <w:rPr>
                <w:rtl w:val="0"/>
              </w:rPr>
            </w:r>
          </w:p>
        </w:tc>
        <w:tc>
          <w:tcPr>
            <w:gridSpan w:val="2"/>
            <w:vAlign w:val="top"/>
          </w:tcPr>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nie*</w:t>
            </w:r>
          </w:p>
        </w:tc>
      </w:tr>
      <w:tr>
        <w:trPr>
          <w:cantSplit w:val="0"/>
          <w:trHeight w:val="195" w:hRule="atLeast"/>
          <w:tblHeader w:val="0"/>
        </w:trPr>
        <w:tc>
          <w:tcPr>
            <w:shd w:fill="f3f3f3" w:val="clear"/>
            <w:vAlign w:val="top"/>
          </w:tcPr>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Numer pozwolenia na budowę oraz nazwa organu, który je wydał</w:t>
            </w:r>
          </w:p>
        </w:tc>
        <w:tc>
          <w:tcPr>
            <w:gridSpan w:val="4"/>
            <w:vAlign w:val="top"/>
          </w:tcPr>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Decyzja nr 119/26 z dnia 26.02.2026 roku wydana przez Starostę Polickiego</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p>
        </w:tc>
      </w:tr>
      <w:tr>
        <w:trPr>
          <w:cantSplit w:val="0"/>
          <w:trHeight w:val="195" w:hRule="atLeast"/>
          <w:tblHeader w:val="0"/>
        </w:trPr>
        <w:tc>
          <w:tcPr>
            <w:shd w:fill="f3f3f3" w:val="clear"/>
            <w:vAlign w:val="top"/>
          </w:tcPr>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Data uprawomocnienia się decyzji o pozwoleniu na użytkowanie budynku</w:t>
            </w:r>
          </w:p>
        </w:tc>
        <w:tc>
          <w:tcPr>
            <w:gridSpan w:val="4"/>
            <w:vAlign w:val="top"/>
          </w:tcPr>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Nie dotyczy</w:t>
            </w:r>
          </w:p>
        </w:tc>
      </w:tr>
      <w:tr>
        <w:trPr>
          <w:cantSplit w:val="0"/>
          <w:trHeight w:val="195" w:hRule="atLeast"/>
          <w:tblHeader w:val="0"/>
        </w:trPr>
        <w:tc>
          <w:tcPr>
            <w:shd w:fill="f3f3f3" w:val="clear"/>
            <w:vAlign w:val="top"/>
          </w:tcPr>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Numer zgłoszenia budowy, o której mowa w art. 29 ust. 1 pkt 1 ustawy z dnia 7 lipca 1994 r. – Prawo budowlane (Dz.U. z 2021 r. poz.2352 z późn. zm.), oraz oznaczenie organu, do którego dokonano zgłoszenia, wraz z informacją o braku wniesienia sprzeciwu przez ten organ.</w:t>
            </w:r>
          </w:p>
        </w:tc>
        <w:tc>
          <w:tcPr>
            <w:gridSpan w:val="4"/>
            <w:vAlign w:val="top"/>
          </w:tcPr>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Nie dotyczy</w:t>
            </w:r>
          </w:p>
        </w:tc>
      </w:tr>
      <w:tr>
        <w:trPr>
          <w:cantSplit w:val="0"/>
          <w:trHeight w:val="195" w:hRule="atLeast"/>
          <w:tblHeader w:val="0"/>
        </w:trPr>
        <w:tc>
          <w:tcPr>
            <w:shd w:fill="f3f3f3" w:val="clear"/>
            <w:vAlign w:val="top"/>
          </w:tcPr>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Data zakończenia budowy domu dwulokalowego</w:t>
            </w:r>
          </w:p>
        </w:tc>
        <w:tc>
          <w:tcPr>
            <w:gridSpan w:val="4"/>
            <w:vAlign w:val="top"/>
          </w:tcPr>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Planowane zakończenie przedsięwzięcia deweloperskiego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30.05.2027</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roku</w:t>
            </w:r>
          </w:p>
        </w:tc>
      </w:tr>
      <w:tr>
        <w:trPr>
          <w:cantSplit w:val="0"/>
          <w:trHeight w:val="195" w:hRule="atLeast"/>
          <w:tblHeader w:val="0"/>
        </w:trPr>
        <w:tc>
          <w:tcPr>
            <w:shd w:fill="f3f3f3" w:val="clear"/>
            <w:vAlign w:val="top"/>
          </w:tcPr>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Planowany termin rozpoczęcia i zakończenia prac budowlanych</w:t>
            </w:r>
          </w:p>
        </w:tc>
        <w:tc>
          <w:tcPr>
            <w:gridSpan w:val="4"/>
            <w:vAlign w:val="top"/>
          </w:tcPr>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ff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Rozpoczęcie w dniu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01.05.2026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roku, a  planowane zakończenie przedsięwzięcia deweloperskiego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30.05.2027</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roku</w:t>
            </w:r>
            <w:r w:rsidDel="00000000" w:rsidR="00000000" w:rsidRPr="00000000">
              <w:rPr>
                <w:rtl w:val="0"/>
              </w:rPr>
            </w:r>
          </w:p>
        </w:tc>
      </w:tr>
      <w:tr>
        <w:trPr>
          <w:cantSplit w:val="1"/>
          <w:trHeight w:val="195" w:hRule="atLeast"/>
          <w:tblHeader w:val="0"/>
        </w:trPr>
        <w:tc>
          <w:tcPr>
            <w:vMerge w:val="restart"/>
            <w:shd w:fill="f3f3f3" w:val="clear"/>
            <w:vAlign w:val="top"/>
          </w:tcPr>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Opis przedsięwzięcia deweloperskiego lub zadania inwestycyjnego</w:t>
            </w:r>
          </w:p>
        </w:tc>
        <w:tc>
          <w:tcPr>
            <w:vAlign w:val="top"/>
          </w:tcPr>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Liczba budynków</w:t>
            </w:r>
            <w:r w:rsidDel="00000000" w:rsidR="00000000" w:rsidRPr="00000000">
              <w:rPr>
                <w:rtl w:val="0"/>
              </w:rPr>
            </w:r>
          </w:p>
        </w:tc>
        <w:tc>
          <w:tcPr>
            <w:gridSpan w:val="3"/>
            <w:vAlign w:val="top"/>
          </w:tcPr>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Jeden budynek dwulokalowy  </w:t>
            </w:r>
            <w:r w:rsidDel="00000000" w:rsidR="00000000" w:rsidRPr="00000000">
              <w:rPr>
                <w:rtl w:val="0"/>
              </w:rPr>
            </w:r>
          </w:p>
        </w:tc>
      </w:tr>
      <w:tr>
        <w:trPr>
          <w:cantSplit w:val="1"/>
          <w:trHeight w:val="195" w:hRule="atLeast"/>
          <w:tblHeader w:val="0"/>
        </w:trPr>
        <w:tc>
          <w:tcPr>
            <w:vMerge w:val="continue"/>
            <w:shd w:fill="f3f3f3" w:val="clear"/>
            <w:vAlign w:val="top"/>
          </w:tcPr>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Rozmieszczenie budynków na nieruchomości (należy podać minimalny odstęp między budynkami)</w:t>
            </w:r>
          </w:p>
        </w:tc>
        <w:tc>
          <w:tcPr>
            <w:gridSpan w:val="2"/>
            <w:vAlign w:val="top"/>
          </w:tcPr>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nie dotyczy </w:t>
            </w:r>
          </w:p>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195" w:hRule="atLeast"/>
          <w:tblHeader w:val="0"/>
        </w:trPr>
        <w:tc>
          <w:tcPr>
            <w:vMerge w:val="continue"/>
            <w:shd w:fill="f3f3f3" w:val="clear"/>
            <w:vAlign w:val="top"/>
          </w:tcPr>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4"/>
            <w:vAlign w:val="top"/>
          </w:tcPr>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149" w:right="0" w:hanging="149"/>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93" w:hRule="atLeast"/>
          <w:tblHeader w:val="0"/>
        </w:trPr>
        <w:tc>
          <w:tcPr>
            <w:shd w:fill="f3f3f3" w:val="clear"/>
            <w:vAlign w:val="top"/>
          </w:tcPr>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Sposób pomiaru powierzchni użytkowej lokalu mieszkalnego albo domu jednorodzinnego</w:t>
            </w:r>
          </w:p>
        </w:tc>
        <w:tc>
          <w:tcPr>
            <w:gridSpan w:val="4"/>
            <w:vAlign w:val="top"/>
          </w:tcPr>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Zgodnie z PN-ISO 9836:2022-07</w:t>
            </w:r>
            <w:r w:rsidDel="00000000" w:rsidR="00000000" w:rsidRPr="00000000">
              <w:rPr>
                <w:rtl w:val="0"/>
              </w:rPr>
            </w:r>
          </w:p>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Pomiar według wskazanej normy dokonywany jest na następujących zasadach: </w:t>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149" w:right="0" w:hanging="149"/>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pomiaru dokonuje się na poziomie podłogi, w </w:t>
            </w:r>
            <w:r w:rsidDel="00000000" w:rsidR="00000000" w:rsidRPr="00000000">
              <w:rPr>
                <w:rFonts w:ascii="Times New Roman" w:cs="Times New Roman" w:eastAsia="Times New Roman" w:hAnsi="Times New Roman"/>
                <w:b w:val="0"/>
                <w:bCs w:val="0"/>
                <w:i w:val="0"/>
                <w:iCs w:val="0"/>
                <w:smallCaps w:val="0"/>
                <w:strike w:val="0"/>
                <w:color w:val="000000"/>
                <w:sz w:val="20"/>
                <w:szCs w:val="20"/>
                <w:highlight w:val="white"/>
                <w:u w:val="none"/>
                <w:vertAlign w:val="baseline"/>
                <w:rtl w:val="0"/>
              </w:rPr>
              <w:t xml:space="preserve">świetle wyprawionych ścian tj</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z tynkami bez okładzin,</w:t>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149" w:right="0" w:hanging="149"/>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powierzchnie pomieszczeń lub ich części o wysokości w świetle powyżej 2,20 m (dwa metry dwadzieścia setnych metra) zalicza się do obliczeń w 100% (stu procentach), w przedziale od 1,40 m (jeden metr czterdzieści setnych metra) do 2,20 m (dwa metry dwadzieścia setnych metra) – w 50% (pięćdziesięciu procentach), a poniżej 1,40 m (jeden metr czterdzieści setnych metra) pomija się całkowicie, </w:t>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149" w:right="0" w:hanging="149"/>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wielkości wynikające z obliczeń powierzchni podaje się z dokładnością do 0,01 m</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(jedna setna metra kwadratowego).</w:t>
            </w:r>
          </w:p>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501" w:hRule="atLeast"/>
          <w:tblHeader w:val="0"/>
        </w:trPr>
        <w:tc>
          <w:tcPr>
            <w:vMerge w:val="restart"/>
            <w:shd w:fill="f3f3f3" w:val="clear"/>
            <w:vAlign w:val="top"/>
          </w:tcPr>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Zamierzony sposób i procentowy udział źródeł finansowania przedsięwzięcia deweloperskiego lub zadania inwestycyjnego</w:t>
            </w:r>
          </w:p>
        </w:tc>
        <w:tc>
          <w:tcPr>
            <w:gridSpan w:val="2"/>
            <w:vAlign w:val="top"/>
          </w:tcPr>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Rodzaj posiadanych środków finansowych – kredyt, środki własne, inne </w:t>
            </w:r>
          </w:p>
        </w:tc>
        <w:tc>
          <w:tcPr>
            <w:gridSpan w:val="2"/>
            <w:vAlign w:val="top"/>
          </w:tcPr>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Środki własne dewelopera 25%</w:t>
            </w:r>
          </w:p>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Wpłaty klientów 75% uruchamiane z rachunku powierniczego </w:t>
            </w:r>
          </w:p>
        </w:tc>
      </w:tr>
      <w:tr>
        <w:trPr>
          <w:cantSplit w:val="1"/>
          <w:trHeight w:val="501" w:hRule="atLeast"/>
          <w:tblHeader w:val="0"/>
        </w:trPr>
        <w:tc>
          <w:tcPr>
            <w:vMerge w:val="continue"/>
            <w:shd w:fill="f3f3f3" w:val="clear"/>
            <w:vAlign w:val="top"/>
          </w:tcPr>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 następujących instytucjach finansowych (wypełnia się w przypadku kredytu)</w:t>
            </w:r>
          </w:p>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Otwarty mieszkaniowy rachunek powierniczy*</w:t>
            </w:r>
          </w:p>
        </w:tc>
        <w:tc>
          <w:tcPr>
            <w:gridSpan w:val="2"/>
            <w:vAlign w:val="top"/>
          </w:tcPr>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Nie przewiduje się finansowania inwestycji z kredytu bankowego</w:t>
            </w:r>
            <w:r w:rsidDel="00000000" w:rsidR="00000000" w:rsidRPr="00000000">
              <w:rPr>
                <w:rFonts w:ascii="Times New Roman" w:cs="Times New Roman" w:eastAsia="Times New Roman" w:hAnsi="Times New Roman"/>
                <w:b w:val="0"/>
                <w:bCs w:val="0"/>
                <w:i w:val="0"/>
                <w:iCs w:val="0"/>
                <w:smallCaps w:val="0"/>
                <w:strike w:val="1"/>
                <w:color w:val="000000"/>
                <w:sz w:val="20"/>
                <w:szCs w:val="20"/>
                <w:u w:val="none"/>
                <w:shd w:fill="auto" w:val="clear"/>
                <w:vertAlign w:val="baseline"/>
                <w:rtl w:val="0"/>
              </w:rPr>
              <w:t xml:space="preserve"> Zamknięty mieszkaniowy rachunek powierniczy*</w:t>
            </w:r>
            <w:r w:rsidDel="00000000" w:rsidR="00000000" w:rsidRPr="00000000">
              <w:rPr>
                <w:rtl w:val="0"/>
              </w:rPr>
            </w:r>
          </w:p>
        </w:tc>
      </w:tr>
      <w:tr>
        <w:trPr>
          <w:cantSplit w:val="1"/>
          <w:trHeight w:val="501" w:hRule="atLeast"/>
          <w:tblHeader w:val="0"/>
        </w:trPr>
        <w:tc>
          <w:tcPr>
            <w:vMerge w:val="restart"/>
            <w:shd w:fill="f3f3f3" w:val="clear"/>
            <w:vAlign w:val="top"/>
          </w:tcPr>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Środki ochrony nabywców</w:t>
            </w:r>
          </w:p>
        </w:tc>
        <w:tc>
          <w:tcPr>
            <w:gridSpan w:val="2"/>
            <w:vAlign w:val="top"/>
          </w:tcPr>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Otwarty mieszkaniowy rachunek powierniczy*</w:t>
            </w:r>
          </w:p>
        </w:tc>
        <w:tc>
          <w:tcPr>
            <w:gridSpan w:val="2"/>
            <w:vAlign w:val="top"/>
          </w:tcPr>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1"/>
                <w:color w:val="000000"/>
                <w:sz w:val="20"/>
                <w:szCs w:val="20"/>
                <w:u w:val="none"/>
                <w:shd w:fill="auto" w:val="clear"/>
                <w:vertAlign w:val="baseline"/>
                <w:rtl w:val="0"/>
              </w:rPr>
              <w:t xml:space="preserve">Zamknięty mieszkaniowy rachunek powierniczy*</w:t>
            </w:r>
            <w:r w:rsidDel="00000000" w:rsidR="00000000" w:rsidRPr="00000000">
              <w:rPr>
                <w:rtl w:val="0"/>
              </w:rPr>
            </w:r>
          </w:p>
        </w:tc>
      </w:tr>
      <w:tr>
        <w:trPr>
          <w:cantSplit w:val="1"/>
          <w:trHeight w:val="501" w:hRule="atLeast"/>
          <w:tblHeader w:val="0"/>
        </w:trPr>
        <w:tc>
          <w:tcPr>
            <w:vMerge w:val="continue"/>
            <w:shd w:fill="f3f3f3" w:val="clear"/>
            <w:vAlign w:val="top"/>
          </w:tcPr>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3"/>
            <w:vAlign w:val="top"/>
          </w:tcPr>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239"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Wysokość stawki procentowej, według której jest obliczana kwota składki na Deweloperski Fundusz Gwarancyjny</w:t>
            </w:r>
          </w:p>
        </w:tc>
        <w:tc>
          <w:tcPr>
            <w:vAlign w:val="top"/>
          </w:tcPr>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0,45 % inwestycji</w:t>
            </w:r>
          </w:p>
        </w:tc>
      </w:tr>
      <w:tr>
        <w:trPr>
          <w:cantSplit w:val="0"/>
          <w:trHeight w:val="593" w:hRule="atLeast"/>
          <w:tblHeader w:val="0"/>
        </w:trPr>
        <w:tc>
          <w:tcPr>
            <w:shd w:fill="f3f3f3" w:val="clear"/>
            <w:vAlign w:val="top"/>
          </w:tcPr>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Główne zasady funkcjonowania wybranego rodzaju zabezpieczenia środków nabywcy</w:t>
            </w:r>
          </w:p>
        </w:tc>
        <w:tc>
          <w:tcPr>
            <w:gridSpan w:val="4"/>
            <w:vAlign w:val="top"/>
          </w:tcPr>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40" w:lineRule="auto"/>
              <w:ind w:left="599"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Dla przedsięwzięcia deweloperskiego objętego umową deweloperską Deweloper zawarł w dniu …….. umowę o prowadzenie otwartego mieszkaniowego rachunku powierniczego z bankiem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Bank Spółdzielczy Ziemi Szczecińskiej</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z siedzibą w Pyrzycach  Nr …………. .</w:t>
              <w:tab/>
            </w:r>
          </w:p>
          <w:p w:rsidR="00000000" w:rsidDel="00000000" w:rsidP="00000000" w:rsidRDefault="00000000" w:rsidRPr="00000000" w14:paraId="000001E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40" w:lineRule="auto"/>
              <w:ind w:left="599"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 czasie obowiązywania umowy o prowadzenie otwartego mieszkaniowego rachunku powierniczego, umowa  o prowadzenie mieszkaniowego rachunku powierniczego nie może ulec zmianie bez zgody Nabywcy, z wyjątkiem wysokości oprocentowania środków pieniężnych gromadzonych na rachunku, z tym że sposób ustalania wysokości oprocentowania jest określony w tej umowie.</w:t>
              <w:tab/>
            </w:r>
          </w:p>
          <w:p w:rsidR="00000000" w:rsidDel="00000000" w:rsidP="00000000" w:rsidRDefault="00000000" w:rsidRPr="00000000" w14:paraId="000001E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40" w:lineRule="auto"/>
              <w:ind w:left="599"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Bank</w:t>
            </w:r>
            <w:r w:rsidDel="00000000" w:rsidR="00000000" w:rsidRPr="00000000">
              <w:rPr>
                <w:rFonts w:ascii="Times New Roman" w:cs="Times New Roman" w:eastAsia="Times New Roman" w:hAnsi="Times New Roman"/>
                <w:b w:val="0"/>
                <w:bCs w:val="0"/>
                <w:i w:val="0"/>
                <w:iCs w:val="0"/>
                <w:smallCaps w:val="0"/>
                <w:strike w:val="0"/>
                <w:color w:val="ff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prowadzący mieszkaniowy rachunek powierniczy ewidencjonuje wpłaty i wypłaty odrębnie dla każdego nabywcy, a na żądanie nabywcy podaje szczegółowe informacje dotyczące wpłat i wypłat dokonanych w wykonaniu umowy, której stroną jest nabywca występujący z żądaniem udzielenia informacji, takie jak data oraz kwoty wpłat i wypłat.</w:t>
            </w:r>
          </w:p>
          <w:p w:rsidR="00000000" w:rsidDel="00000000" w:rsidP="00000000" w:rsidRDefault="00000000" w:rsidRPr="00000000" w14:paraId="000001E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40" w:lineRule="auto"/>
              <w:ind w:left="599"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Nabywca dokonuje wpłat na mieszkaniowy rachunek powierniczy zgodnie z postępem realizacji przedsięwzięcia deweloperskiego.</w:t>
            </w:r>
          </w:p>
          <w:p w:rsidR="00000000" w:rsidDel="00000000" w:rsidP="00000000" w:rsidRDefault="00000000" w:rsidRPr="00000000" w14:paraId="000001E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40" w:lineRule="auto"/>
              <w:ind w:left="599"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Nabywca dokonuje wpłat na mieszkaniowy rachunek powierniczy po zakończeniu danego etapu przedsięwzięcia deweloperskiego, określonego w harmonogramie. Deweloper informuje nabywcę na papierze lub innym trwałym nośniku o zakończeniu danego etapu przedsięwzięcia deweloperskiego</w:t>
            </w:r>
          </w:p>
          <w:p w:rsidR="00000000" w:rsidDel="00000000" w:rsidP="00000000" w:rsidRDefault="00000000" w:rsidRPr="00000000" w14:paraId="000001E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40" w:lineRule="auto"/>
              <w:ind w:left="599"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Wysokość wpłat dokonywanych przez nabywcę jest uzależniona od faktycznego stopnia realizacji poszczególnych etapów przedsięwzięcia deweloperskiego, określonego w harmonogramie.</w:t>
            </w:r>
          </w:p>
          <w:p w:rsidR="00000000" w:rsidDel="00000000" w:rsidP="00000000" w:rsidRDefault="00000000" w:rsidRPr="00000000" w14:paraId="000001E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40" w:lineRule="auto"/>
              <w:ind w:left="599"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Prawo wypowiedzenia umowy mieszkaniowego rachunku powierniczego przysługuje wyłącznie bankowi  tylko z ważnych powodów.</w:t>
            </w:r>
          </w:p>
          <w:p w:rsidR="00000000" w:rsidDel="00000000" w:rsidP="00000000" w:rsidRDefault="00000000" w:rsidRPr="00000000" w14:paraId="000001E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40" w:lineRule="auto"/>
              <w:ind w:left="599"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 przypadku wypowiedzenia umowy mieszkaniowego rachunku powierniczego deweloper niezwłocznie zawiera z innym bankiem lub</w:t>
            </w:r>
            <w:r w:rsidDel="00000000" w:rsidR="00000000" w:rsidRPr="00000000">
              <w:rPr>
                <w:rFonts w:ascii="Times New Roman" w:cs="Times New Roman" w:eastAsia="Times New Roman" w:hAnsi="Times New Roman"/>
                <w:b w:val="0"/>
                <w:bCs w:val="0"/>
                <w:i w:val="0"/>
                <w:iCs w:val="0"/>
                <w:smallCaps w:val="0"/>
                <w:strike w:val="1"/>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kasą  oszczędnościowo-kredytową zwaną dalej kasą, umowę mieszkaniowego rachunku powierniczego, jednak nie później niż 60 dni od dnia wypowiedzenia tej umowy przez bank</w:t>
            </w:r>
            <w:r w:rsidDel="00000000" w:rsidR="00000000" w:rsidRPr="00000000">
              <w:rPr>
                <w:rFonts w:ascii="Times New Roman" w:cs="Times New Roman" w:eastAsia="Times New Roman" w:hAnsi="Times New Roman"/>
                <w:b w:val="0"/>
                <w:bCs w:val="0"/>
                <w:i w:val="0"/>
                <w:iCs w:val="0"/>
                <w:smallCaps w:val="0"/>
                <w:strike w:val="1"/>
                <w:color w:val="000000"/>
                <w:sz w:val="20"/>
                <w:szCs w:val="20"/>
                <w:highlight w:val="green"/>
                <w:u w:val="none"/>
                <w:vertAlign w:val="baseline"/>
                <w:rtl w:val="0"/>
              </w:rPr>
              <w:t xml:space="preserve">.</w:t>
            </w:r>
            <w:r w:rsidDel="00000000" w:rsidR="00000000" w:rsidRPr="00000000">
              <w:rPr>
                <w:rtl w:val="0"/>
              </w:rPr>
            </w:r>
          </w:p>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1E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40" w:lineRule="auto"/>
              <w:ind w:left="599"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Środki zgromadzone na likwidowanym mieszkaniowym rachunku powierniczym zostaną niezwłocznie przekazane przez bank, na mieszkaniowy rachunek powierniczy otwarty przez dewelopera w innym banku lub kasie, po przedstawieniu przez dewelopera oświadczenia z tego banku lub kasy potwierdzającego, że rachunek na który mają być przekazane środki jest mieszkaniowym rachunkiem powierniczym w rozumieniu ustawy. </w:t>
            </w:r>
          </w:p>
          <w:p w:rsidR="00000000" w:rsidDel="00000000" w:rsidP="00000000" w:rsidRDefault="00000000" w:rsidRPr="00000000" w14:paraId="000001E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40" w:lineRule="auto"/>
              <w:ind w:left="599"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 przypadku nie przedstawienia przez dewelopera oświadczenia o którym mowa w pkt 9, w terminie 60 dni od dnia wypowiedzenia umowy mieszkaniowego rachunku powierniczego, bank niezwłocznie zwraca nabywcom środki znajdujące się na tym rachunku.</w:t>
            </w:r>
          </w:p>
          <w:p w:rsidR="00000000" w:rsidDel="00000000" w:rsidP="00000000" w:rsidRDefault="00000000" w:rsidRPr="00000000" w14:paraId="000001F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40" w:lineRule="auto"/>
              <w:ind w:left="599"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Deweloper dysponuje środkami wypłacanymi z otwartego mieszkaniowego rachunku powierniczego w celu finansowania lub refinansowania przedsięwzięcia deweloperskiego, dla którego jest prowadzony ten rachunek.</w:t>
            </w:r>
          </w:p>
          <w:p w:rsidR="00000000" w:rsidDel="00000000" w:rsidP="00000000" w:rsidRDefault="00000000" w:rsidRPr="00000000" w14:paraId="000001F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40" w:lineRule="auto"/>
              <w:ind w:left="599"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Koszty, opłaty i prowizje za prowadzenie mieszkaniowego rachunku powierniczego obciążają dewelopera, a środki pieniężne wpłacone przez nabywcę na mieszkaniowy rachunek powierniczy nie mogą być pomniejszone o koszty, opłaty i prowizje, o których mowa w tym punkcie.</w:t>
            </w:r>
          </w:p>
          <w:p w:rsidR="00000000" w:rsidDel="00000000" w:rsidP="00000000" w:rsidRDefault="00000000" w:rsidRPr="00000000" w14:paraId="000001F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40" w:lineRule="auto"/>
              <w:ind w:left="599"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 związku z realizacją przez dewelopera umowy deweloperskiej bank wypłaca deweloperowi środki pieniężne wpłacone przez nabywcę na otwarty mieszkaniowy rachunek powierniczy, nie wcześniej niż po 30 dniach od dnia zawarcia umowy deweloperskiej i po stwierdzeniu zakończenia danego etapu realizacji przedsięwzięcia deweloperskiego w wysokości kwoty stanowiącej iloczyn procentu kosztów danego etapu określonego w harmonogramie przedsięwzięcia deweloperskiego oraz ceny lokalu mieszkalnego.</w:t>
            </w:r>
          </w:p>
          <w:p w:rsidR="00000000" w:rsidDel="00000000" w:rsidP="00000000" w:rsidRDefault="00000000" w:rsidRPr="00000000" w14:paraId="000001F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40" w:lineRule="auto"/>
              <w:ind w:left="599"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 przypadku zakończenia ostatniego etapu przedsięwzięcia deweloperskiego określonego w harmonogramie, bank wypłaca deweloperowi pozostałe na otwartym mieszkaniowym rachunku powierniczym środki pieniężne wpłacone przez nabywcę na poczet realizacji ostatniego etapu prac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po otrzymaniu wypisu aktu notarialnego umowy przenoszącej na nabywcę prawa wynikające z umowy deweloperskiej</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 stanie wolnym od obciążeń, praw i roszczeń osób trzecich, z wyjątkiem obciążeń, na które wyraził zgodę nabywca.</w:t>
            </w:r>
          </w:p>
          <w:p w:rsidR="00000000" w:rsidDel="00000000" w:rsidP="00000000" w:rsidRDefault="00000000" w:rsidRPr="00000000" w14:paraId="000001F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40" w:lineRule="auto"/>
              <w:ind w:left="599"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Przed wypłatą środków z otwartego mieszkaniowego rachunku powierniczego, Bank dokonuje kontroli zakończenia każdego z etapów przedsięwzięcia deweloperskiego określonego w harmonogramie przedsięwzięcia deweloperskiego, co najmniej w zakresie, o którym mowa w art. 17 Ustawy o ochronie praw nabywcy lokalu mieszkalnego lub domu jednorodzinnego oraz Deweloperskim Funduszu Gwarancyjnym z dnia 20 maja 2021 r. </w:t>
            </w:r>
          </w:p>
          <w:p w:rsidR="00000000" w:rsidDel="00000000" w:rsidP="00000000" w:rsidRDefault="00000000" w:rsidRPr="00000000" w14:paraId="000001F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40" w:lineRule="auto"/>
              <w:ind w:left="599"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 trakcie kontroli bank ma prawo wglądu do rachunków bankowych dewelopera oraz kontroli dokumentacji w zakresie dotyczącym przedsięwzięcia deweloperskiego, a koszty kontroli ponosi deweloper.</w:t>
            </w:r>
          </w:p>
          <w:p w:rsidR="00000000" w:rsidDel="00000000" w:rsidP="00000000" w:rsidRDefault="00000000" w:rsidRPr="00000000" w14:paraId="000001F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40" w:lineRule="auto"/>
              <w:ind w:left="599"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 przypadku odstąpienia na podstawie art.43 ustawy deweloperskiej od umowy deweloperskiej przez jedną ze stron, bank,</w:t>
            </w:r>
            <w:r w:rsidDel="00000000" w:rsidR="00000000" w:rsidRPr="00000000">
              <w:rPr>
                <w:rFonts w:ascii="Times New Roman" w:cs="Times New Roman" w:eastAsia="Times New Roman" w:hAnsi="Times New Roman"/>
                <w:b w:val="0"/>
                <w:bCs w:val="0"/>
                <w:i w:val="0"/>
                <w:iCs w:val="0"/>
                <w:smallCaps w:val="0"/>
                <w:strike w:val="0"/>
                <w:color w:val="ff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wypłaca nabywcy przypadające mu środki pieniężne pozostałe na mieszkaniowym rachunku powierniczym w nominalnej wysokości niezwłocznie po otrzymaniu oświadczenia o odstąpieniu od umowy</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oraz dokumentów wymienionych w umowie o prowadzenie otwartego mieszkaniowego rachunku powierniczego.</w:t>
            </w:r>
          </w:p>
          <w:p w:rsidR="00000000" w:rsidDel="00000000" w:rsidP="00000000" w:rsidRDefault="00000000" w:rsidRPr="00000000" w14:paraId="000001F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40" w:lineRule="auto"/>
              <w:ind w:left="599"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 przypadku rozwiązania umowy deweloperskiej innego niż na podstawie art. 43, strony przedstawią zgodne oświadczenia woli o sposobie podziału środków pieniężnych zgromadzonych przez nabywcę na mieszkaniowym rachunku powierniczym.</w:t>
            </w:r>
          </w:p>
          <w:p w:rsidR="00000000" w:rsidDel="00000000" w:rsidP="00000000" w:rsidRDefault="00000000" w:rsidRPr="00000000" w14:paraId="000001F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40" w:lineRule="auto"/>
              <w:ind w:left="599"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Bank wypłaca środki zgromadzone na mieszkaniowym rachunku powierniczym w nominalnej wysokości niezwłocznie po otrzymaniu oświadczeń, o których mowa powyżej</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oraz dokumentów wymienionych w umowie o prowadzenie otwartego mieszkaniowego rachunku powierniczego.</w:t>
            </w:r>
          </w:p>
          <w:p w:rsidR="00000000" w:rsidDel="00000000" w:rsidP="00000000" w:rsidRDefault="00000000" w:rsidRPr="00000000" w14:paraId="000001F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40" w:lineRule="auto"/>
              <w:ind w:left="599" w:right="0" w:hanging="360"/>
              <w:jc w:val="both"/>
              <w:rPr>
                <w:rFonts w:ascii="Times New Roman" w:cs="Times New Roman" w:eastAsia="Times New Roman" w:hAnsi="Times New Roman"/>
                <w:b w:val="0"/>
                <w:bCs w:val="0"/>
                <w:i w:val="0"/>
                <w:iCs w:val="0"/>
                <w:smallCaps w:val="0"/>
                <w:strike w:val="0"/>
                <w:color w:val="000000"/>
                <w:sz w:val="20"/>
                <w:szCs w:val="20"/>
                <w:highlight w:val="green"/>
                <w:u w:val="no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Deweloper oświadcza, że w przypadku odstąpienia przez Nabywcę od niniejszej umowy, zobowiązuje się zwrócić Nabywcy środki wypłacone Deweloperowi przez bank z otwartego mieszkaniowego rachunku powierniczego w związku z realizacją niniejszej umowy niezwłocznie, jednak nie później niż w terminie 30 dni od dnia otrzymania oświadczenia Nabywcy o odstąpieniu od umowy.------------------------------------------------</w:t>
            </w:r>
            <w:r w:rsidDel="00000000" w:rsidR="00000000" w:rsidRPr="00000000">
              <w:rPr>
                <w:rtl w:val="0"/>
              </w:rPr>
            </w:r>
          </w:p>
        </w:tc>
      </w:tr>
      <w:tr>
        <w:trPr>
          <w:cantSplit w:val="0"/>
          <w:trHeight w:val="593" w:hRule="atLeast"/>
          <w:tblHeader w:val="0"/>
        </w:trPr>
        <w:tc>
          <w:tcPr>
            <w:shd w:fill="f3f3f3" w:val="clear"/>
            <w:vAlign w:val="top"/>
          </w:tcPr>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Nazwa instytucji zapewniającej bezpieczeństwo środków nabywcy</w:t>
            </w:r>
          </w:p>
        </w:tc>
        <w:tc>
          <w:tcPr>
            <w:gridSpan w:val="4"/>
            <w:vAlign w:val="top"/>
          </w:tcPr>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Bank Spółdzielczy Ziemi Szczecińskiej w Pyrzycach oddział  w Gryfinie</w:t>
            </w:r>
          </w:p>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93" w:hRule="atLeast"/>
          <w:tblHeader w:val="0"/>
        </w:trPr>
        <w:tc>
          <w:tcPr>
            <w:shd w:fill="f3f3f3" w:val="clear"/>
            <w:vAlign w:val="top"/>
          </w:tcPr>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ff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Harmonogram przedsięwzięcia deweloperskiego lub zadania inwestycyjnego</w:t>
            </w:r>
            <w:r w:rsidDel="00000000" w:rsidR="00000000" w:rsidRPr="00000000">
              <w:rPr>
                <w:rtl w:val="0"/>
              </w:rPr>
            </w:r>
          </w:p>
        </w:tc>
        <w:tc>
          <w:tcPr>
            <w:gridSpan w:val="4"/>
            <w:vAlign w:val="center"/>
          </w:tcPr>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ff0000"/>
                <w:sz w:val="20"/>
                <w:szCs w:val="20"/>
                <w:u w:val="none"/>
                <w:shd w:fill="auto" w:val="clear"/>
                <w:vertAlign w:val="baseline"/>
              </w:rPr>
            </w:pPr>
            <w:r w:rsidDel="00000000" w:rsidR="00000000" w:rsidRPr="00000000">
              <w:rPr>
                <w:rtl w:val="0"/>
              </w:rPr>
            </w:r>
          </w:p>
          <w:tbl>
            <w:tblPr>
              <w:tblStyle w:val="Table4"/>
              <w:tblW w:w="6805.0" w:type="dxa"/>
              <w:jc w:val="left"/>
              <w:tblLayout w:type="fixed"/>
              <w:tblLook w:val="0000"/>
            </w:tblPr>
            <w:tblGrid>
              <w:gridCol w:w="583"/>
              <w:gridCol w:w="333"/>
              <w:gridCol w:w="3053"/>
              <w:gridCol w:w="709"/>
              <w:gridCol w:w="1276"/>
              <w:gridCol w:w="851"/>
              <w:tblGridChange w:id="0">
                <w:tblGrid>
                  <w:gridCol w:w="583"/>
                  <w:gridCol w:w="333"/>
                  <w:gridCol w:w="3053"/>
                  <w:gridCol w:w="709"/>
                  <w:gridCol w:w="1276"/>
                  <w:gridCol w:w="851"/>
                </w:tblGrid>
              </w:tblGridChange>
            </w:tblGrid>
            <w:tr>
              <w:trPr>
                <w:cantSplit w:val="0"/>
                <w:trHeight w:val="315" w:hRule="atLeast"/>
                <w:tblHeader w:val="0"/>
              </w:trPr>
              <w:tc>
                <w:tcPr>
                  <w:gridSpan w:val="4"/>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16"/>
                      <w:szCs w:val="16"/>
                      <w:u w:val="none"/>
                      <w:shd w:fill="auto" w:val="clear"/>
                      <w:vertAlign w:val="baseline"/>
                      <w:rtl w:val="0"/>
                    </w:rPr>
                    <w:t xml:space="preserve">Harmonogram przedsięwzięcia deweloperskiego – Mierzyn  ul.Zgodna </w:t>
                  </w:r>
                  <w:r w:rsidDel="00000000" w:rsidR="00000000" w:rsidRPr="00000000">
                    <w:rPr>
                      <w:rtl w:val="0"/>
                    </w:rPr>
                  </w:r>
                </w:p>
              </w:tc>
              <w:tc>
                <w:tcPr>
                  <w:gridSpan w:val="2"/>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16"/>
                      <w:szCs w:val="16"/>
                      <w:u w:val="none"/>
                      <w:shd w:fill="auto" w:val="clear"/>
                      <w:vertAlign w:val="baseline"/>
                      <w:rtl w:val="0"/>
                    </w:rPr>
                    <w:t xml:space="preserve"> </w:t>
                  </w:r>
                  <w:r w:rsidDel="00000000" w:rsidR="00000000" w:rsidRPr="00000000">
                    <w:rPr>
                      <w:rtl w:val="0"/>
                    </w:rPr>
                  </w:r>
                </w:p>
              </w:tc>
            </w:tr>
            <w:tr>
              <w:trPr>
                <w:cantSplit w:val="0"/>
                <w:trHeight w:val="765" w:hRule="atLeast"/>
                <w:tblHeader w:val="0"/>
              </w:trPr>
              <w:tc>
                <w:tcPr>
                  <w:tcBorders>
                    <w:top w:color="000000" w:space="0" w:sz="0" w:val="nil"/>
                    <w:left w:color="000000" w:space="0" w:sz="4" w:val="single"/>
                    <w:bottom w:color="000000" w:space="0" w:sz="4" w:val="single"/>
                    <w:right w:color="000000" w:space="0" w:sz="0" w:val="nil"/>
                  </w:tcBorders>
                  <w:shd w:fill="fcd5b4" w:val="clear"/>
                  <w:vAlign w:val="center"/>
                </w:tcPr>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16"/>
                      <w:szCs w:val="16"/>
                      <w:u w:val="none"/>
                      <w:shd w:fill="auto" w:val="clear"/>
                      <w:vertAlign w:val="baseline"/>
                      <w:rtl w:val="0"/>
                    </w:rPr>
                    <w:t xml:space="preserve">ETAP</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shd w:fill="fcd5b4" w:val="clear"/>
                  <w:vAlign w:val="center"/>
                </w:tcPr>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16"/>
                      <w:szCs w:val="16"/>
                      <w:u w:val="none"/>
                      <w:shd w:fill="auto" w:val="clear"/>
                      <w:vertAlign w:val="baseline"/>
                      <w:rtl w:val="0"/>
                    </w:rPr>
                    <w:t xml:space="preserve">Lp</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cd5b4" w:val="clear"/>
                  <w:vAlign w:val="center"/>
                </w:tcPr>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16"/>
                      <w:szCs w:val="16"/>
                      <w:u w:val="none"/>
                      <w:shd w:fill="auto" w:val="clear"/>
                      <w:vertAlign w:val="baseline"/>
                      <w:rtl w:val="0"/>
                    </w:rPr>
                    <w:t xml:space="preserve">ZAKRES PRAC  </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cd5b4" w:val="clear"/>
                  <w:vAlign w:val="center"/>
                </w:tcPr>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16"/>
                      <w:szCs w:val="16"/>
                      <w:u w:val="none"/>
                      <w:shd w:fill="auto" w:val="clear"/>
                      <w:vertAlign w:val="baseline"/>
                      <w:rtl w:val="0"/>
                    </w:rPr>
                    <w:t xml:space="preserve">% Wykonania</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cd5b4" w:val="clear"/>
                  <w:vAlign w:val="center"/>
                </w:tcPr>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center"/>
                    <w:rPr>
                      <w:rFonts w:ascii="Arial Narrow" w:cs="Arial Narrow" w:eastAsia="Arial Narrow" w:hAnsi="Arial Narrow"/>
                      <w:b w:val="0"/>
                      <w:bCs w:val="0"/>
                      <w:i w:val="0"/>
                      <w:iCs w:val="0"/>
                      <w:smallCaps w:val="0"/>
                      <w:strike w:val="0"/>
                      <w:color w:val="000000"/>
                      <w:sz w:val="14"/>
                      <w:szCs w:val="1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14"/>
                      <w:szCs w:val="14"/>
                      <w:u w:val="none"/>
                      <w:shd w:fill="auto" w:val="clear"/>
                      <w:vertAlign w:val="baseline"/>
                      <w:rtl w:val="0"/>
                    </w:rPr>
                    <w:t xml:space="preserve">% ETAPU w całkowitych kosztach</w:t>
                  </w:r>
                  <w:r w:rsidDel="00000000" w:rsidR="00000000" w:rsidRPr="00000000">
                    <w:rPr>
                      <w:rtl w:val="0"/>
                    </w:rPr>
                  </w:r>
                </w:p>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cd5b4" w:val="clear"/>
                  <w:vAlign w:val="center"/>
                </w:tcPr>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16"/>
                      <w:szCs w:val="16"/>
                      <w:u w:val="none"/>
                      <w:shd w:fill="auto" w:val="clear"/>
                      <w:vertAlign w:val="baseline"/>
                      <w:rtl w:val="0"/>
                    </w:rPr>
                    <w:t xml:space="preserve">Termin zakończenia ETAPU</w:t>
                  </w:r>
                  <w:r w:rsidDel="00000000" w:rsidR="00000000" w:rsidRPr="00000000">
                    <w:rPr>
                      <w:rtl w:val="0"/>
                    </w:rPr>
                  </w:r>
                </w:p>
              </w:tc>
            </w:tr>
            <w:tr>
              <w:trPr>
                <w:cantSplit w:val="1"/>
                <w:trHeight w:val="315" w:hRule="atLeast"/>
                <w:tblHeader w:val="0"/>
              </w:trPr>
              <w:tc>
                <w:tcPr>
                  <w:vMerge w:val="restart"/>
                  <w:tcBorders>
                    <w:top w:color="000000" w:space="0" w:sz="0" w:val="nil"/>
                    <w:left w:color="000000" w:space="0" w:sz="4" w:val="single"/>
                    <w:bottom w:color="000000" w:space="0" w:sz="6" w:val="single"/>
                    <w:right w:color="000000" w:space="0" w:sz="4" w:val="single"/>
                  </w:tcBorders>
                  <w:shd w:fill="auto" w:val="clear"/>
                  <w:vAlign w:val="center"/>
                </w:tcPr>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I</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1</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Zakup nieruchomości, wykonanie projektu budowlanego</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100,00%</w:t>
                  </w:r>
                </w:p>
              </w:tc>
              <w:tc>
                <w:tcPr>
                  <w:vMerge w:val="restart"/>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22,24%</w:t>
                  </w:r>
                </w:p>
              </w:tc>
              <w:tc>
                <w:tcPr>
                  <w:vMerge w:val="restart"/>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30.05.2026</w:t>
                  </w:r>
                </w:p>
              </w:tc>
            </w:tr>
            <w:tr>
              <w:trPr>
                <w:cantSplit w:val="1"/>
                <w:trHeight w:val="315" w:hRule="atLeast"/>
                <w:tblHeader w:val="0"/>
              </w:trPr>
              <w:tc>
                <w:tcPr>
                  <w:vMerge w:val="continue"/>
                  <w:tcBorders>
                    <w:top w:color="000000" w:space="0" w:sz="0" w:val="nil"/>
                    <w:left w:color="000000" w:space="0" w:sz="4" w:val="single"/>
                    <w:bottom w:color="000000" w:space="0" w:sz="6" w:val="single"/>
                    <w:right w:color="000000" w:space="0" w:sz="4" w:val="single"/>
                  </w:tcBorders>
                  <w:shd w:fill="auto" w:val="clear"/>
                  <w:vAlign w:val="center"/>
                </w:tcPr>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2</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205"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Wykonanie dokumentacji projektowej i uzgodnień</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100,00%</w:t>
                  </w:r>
                </w:p>
              </w:tc>
              <w:tc>
                <w:tcPr>
                  <w:vMerge w:val="continue"/>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1"/>
                <w:trHeight w:val="330" w:hRule="atLeast"/>
                <w:tblHeader w:val="0"/>
              </w:trPr>
              <w:tc>
                <w:tcPr>
                  <w:vMerge w:val="continue"/>
                  <w:tcBorders>
                    <w:top w:color="000000" w:space="0" w:sz="0" w:val="nil"/>
                    <w:left w:color="000000" w:space="0" w:sz="4" w:val="single"/>
                    <w:bottom w:color="000000" w:space="0" w:sz="6" w:val="single"/>
                    <w:right w:color="000000" w:space="0" w:sz="4" w:val="single"/>
                  </w:tcBorders>
                  <w:shd w:fill="auto" w:val="clear"/>
                  <w:vAlign w:val="center"/>
                </w:tcPr>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6" w:val="single"/>
                    <w:right w:color="000000" w:space="0" w:sz="4" w:val="single"/>
                  </w:tcBorders>
                  <w:shd w:fill="ffffff" w:val="clear"/>
                  <w:vAlign w:val="center"/>
                </w:tcPr>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3</w:t>
                  </w:r>
                </w:p>
              </w:tc>
              <w:tc>
                <w:tcPr>
                  <w:tcBorders>
                    <w:top w:color="000000" w:space="0" w:sz="0" w:val="nil"/>
                    <w:left w:color="000000" w:space="0" w:sz="0" w:val="nil"/>
                    <w:bottom w:color="000000" w:space="0" w:sz="6" w:val="single"/>
                    <w:right w:color="000000" w:space="0" w:sz="4" w:val="single"/>
                  </w:tcBorders>
                </w:tcPr>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Wykop do poziomu posadowienia + zabezpieczenie dna chudym betonem</w:t>
                  </w:r>
                </w:p>
              </w:tc>
              <w:tc>
                <w:tcPr>
                  <w:tcBorders>
                    <w:top w:color="000000" w:space="0" w:sz="0" w:val="nil"/>
                    <w:left w:color="000000" w:space="0" w:sz="0" w:val="nil"/>
                    <w:bottom w:color="000000" w:space="0" w:sz="6" w:val="single"/>
                    <w:right w:color="000000" w:space="0" w:sz="4" w:val="single"/>
                  </w:tcBorders>
                </w:tcPr>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100,00%</w:t>
                  </w:r>
                </w:p>
              </w:tc>
              <w:tc>
                <w:tcPr>
                  <w:vMerge w:val="continue"/>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1"/>
                <w:trHeight w:val="330" w:hRule="atLeast"/>
                <w:tblHeader w:val="0"/>
              </w:trPr>
              <w:tc>
                <w:tcPr>
                  <w:vMerge w:val="restart"/>
                  <w:tcBorders>
                    <w:top w:color="000000" w:space="0" w:sz="0" w:val="nil"/>
                    <w:left w:color="000000" w:space="0" w:sz="4" w:val="single"/>
                    <w:bottom w:color="000000" w:space="0" w:sz="6" w:val="single"/>
                    <w:right w:color="000000" w:space="0" w:sz="4" w:val="single"/>
                  </w:tcBorders>
                  <w:shd w:fill="auto" w:val="clear"/>
                  <w:vAlign w:val="center"/>
                </w:tcPr>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II</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1</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Stan ZERO budynku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100,00%</w:t>
                  </w:r>
                </w:p>
              </w:tc>
              <w:tc>
                <w:tcPr>
                  <w:vMerge w:val="restart"/>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19,44%</w:t>
                  </w:r>
                </w:p>
              </w:tc>
              <w:tc>
                <w:tcPr>
                  <w:vMerge w:val="restart"/>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30.06.2026</w:t>
                  </w:r>
                </w:p>
              </w:tc>
            </w:tr>
            <w:tr>
              <w:trPr>
                <w:cantSplit w:val="1"/>
                <w:trHeight w:val="315" w:hRule="atLeast"/>
                <w:tblHeader w:val="0"/>
              </w:trPr>
              <w:tc>
                <w:tcPr>
                  <w:vMerge w:val="continue"/>
                  <w:tcBorders>
                    <w:top w:color="000000" w:space="0" w:sz="0" w:val="nil"/>
                    <w:left w:color="000000" w:space="0" w:sz="4" w:val="single"/>
                    <w:bottom w:color="000000" w:space="0" w:sz="6" w:val="single"/>
                    <w:right w:color="000000" w:space="0" w:sz="4" w:val="single"/>
                  </w:tcBorders>
                  <w:shd w:fill="auto" w:val="clear"/>
                  <w:vAlign w:val="center"/>
                </w:tcPr>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2</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Kondygnacja I ze stropem budynku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100,00%</w:t>
                  </w:r>
                </w:p>
              </w:tc>
              <w:tc>
                <w:tcPr>
                  <w:vMerge w:val="continue"/>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1"/>
                <w:trHeight w:val="330" w:hRule="atLeast"/>
                <w:tblHeader w:val="0"/>
              </w:trPr>
              <w:tc>
                <w:tcPr>
                  <w:vMerge w:val="continue"/>
                  <w:tcBorders>
                    <w:top w:color="000000" w:space="0" w:sz="0" w:val="nil"/>
                    <w:left w:color="000000" w:space="0" w:sz="4" w:val="single"/>
                    <w:bottom w:color="000000" w:space="0" w:sz="6" w:val="single"/>
                    <w:right w:color="000000" w:space="0" w:sz="4" w:val="single"/>
                  </w:tcBorders>
                  <w:shd w:fill="auto" w:val="clear"/>
                  <w:vAlign w:val="center"/>
                </w:tcPr>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6" w:val="single"/>
                    <w:right w:color="000000" w:space="0" w:sz="4" w:val="single"/>
                  </w:tcBorders>
                  <w:shd w:fill="ffffff" w:val="clear"/>
                  <w:vAlign w:val="center"/>
                </w:tcPr>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3</w:t>
                  </w:r>
                </w:p>
              </w:tc>
              <w:tc>
                <w:tcPr>
                  <w:tcBorders>
                    <w:top w:color="000000" w:space="0" w:sz="0" w:val="nil"/>
                    <w:left w:color="000000" w:space="0" w:sz="0" w:val="nil"/>
                    <w:bottom w:color="000000" w:space="0" w:sz="6" w:val="single"/>
                    <w:right w:color="000000" w:space="0" w:sz="4" w:val="single"/>
                  </w:tcBorders>
                </w:tcPr>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6" w:val="single"/>
                    <w:right w:color="000000" w:space="0" w:sz="4" w:val="single"/>
                  </w:tcBorders>
                </w:tcPr>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 </w:t>
                  </w:r>
                </w:p>
              </w:tc>
              <w:tc>
                <w:tcPr>
                  <w:vMerge w:val="continue"/>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1"/>
                <w:trHeight w:val="330" w:hRule="atLeast"/>
                <w:tblHeader w:val="0"/>
              </w:trPr>
              <w:tc>
                <w:tcPr>
                  <w:vMerge w:val="restart"/>
                  <w:tcBorders>
                    <w:top w:color="000000" w:space="0" w:sz="0" w:val="nil"/>
                    <w:left w:color="000000" w:space="0" w:sz="4" w:val="single"/>
                    <w:bottom w:color="000000" w:space="0" w:sz="6" w:val="single"/>
                    <w:right w:color="000000" w:space="0" w:sz="4" w:val="single"/>
                  </w:tcBorders>
                  <w:shd w:fill="auto" w:val="clear"/>
                  <w:vAlign w:val="center"/>
                </w:tcPr>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III</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1</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Kondygnacja II budynku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100,00%</w:t>
                  </w:r>
                </w:p>
              </w:tc>
              <w:tc>
                <w:tcPr>
                  <w:vMerge w:val="restart"/>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21,97%</w:t>
                  </w:r>
                </w:p>
              </w:tc>
              <w:tc>
                <w:tcPr>
                  <w:vMerge w:val="restart"/>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30.08.2026</w:t>
                  </w:r>
                </w:p>
              </w:tc>
            </w:tr>
            <w:tr>
              <w:trPr>
                <w:cantSplit w:val="1"/>
                <w:trHeight w:val="315" w:hRule="atLeast"/>
                <w:tblHeader w:val="0"/>
              </w:trPr>
              <w:tc>
                <w:tcPr>
                  <w:vMerge w:val="continue"/>
                  <w:tcBorders>
                    <w:top w:color="000000" w:space="0" w:sz="0" w:val="nil"/>
                    <w:left w:color="000000" w:space="0" w:sz="4" w:val="single"/>
                    <w:bottom w:color="000000" w:space="0" w:sz="6" w:val="single"/>
                    <w:right w:color="000000" w:space="0" w:sz="4" w:val="single"/>
                  </w:tcBorders>
                  <w:shd w:fill="auto" w:val="clear"/>
                  <w:vAlign w:val="center"/>
                </w:tcPr>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2</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Ściany działowe, dach budynku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100,00%</w:t>
                  </w:r>
                </w:p>
              </w:tc>
              <w:tc>
                <w:tcPr>
                  <w:vMerge w:val="continue"/>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1"/>
                <w:trHeight w:val="315" w:hRule="atLeast"/>
                <w:tblHeader w:val="0"/>
              </w:trPr>
              <w:tc>
                <w:tcPr>
                  <w:vMerge w:val="continue"/>
                  <w:tcBorders>
                    <w:top w:color="000000" w:space="0" w:sz="0" w:val="nil"/>
                    <w:left w:color="000000" w:space="0" w:sz="4" w:val="single"/>
                    <w:bottom w:color="000000" w:space="0" w:sz="6" w:val="single"/>
                    <w:right w:color="000000" w:space="0" w:sz="4" w:val="single"/>
                  </w:tcBorders>
                  <w:shd w:fill="auto" w:val="clear"/>
                  <w:vAlign w:val="center"/>
                </w:tcPr>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3</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Stolarka okienna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 </w:t>
                  </w:r>
                </w:p>
              </w:tc>
              <w:tc>
                <w:tcPr>
                  <w:vMerge w:val="continue"/>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1"/>
                <w:trHeight w:val="330" w:hRule="atLeast"/>
                <w:tblHeader w:val="0"/>
              </w:trPr>
              <w:tc>
                <w:tcPr>
                  <w:vMerge w:val="continue"/>
                  <w:tcBorders>
                    <w:top w:color="000000" w:space="0" w:sz="0" w:val="nil"/>
                    <w:left w:color="000000" w:space="0" w:sz="4" w:val="single"/>
                    <w:bottom w:color="000000" w:space="0" w:sz="6" w:val="single"/>
                    <w:right w:color="000000" w:space="0" w:sz="4" w:val="single"/>
                  </w:tcBorders>
                  <w:shd w:fill="auto" w:val="clear"/>
                  <w:vAlign w:val="center"/>
                </w:tcPr>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6" w:val="single"/>
                    <w:right w:color="000000" w:space="0" w:sz="4" w:val="single"/>
                  </w:tcBorders>
                  <w:shd w:fill="ffffff" w:val="clear"/>
                  <w:vAlign w:val="center"/>
                </w:tcPr>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4</w:t>
                  </w:r>
                </w:p>
              </w:tc>
              <w:tc>
                <w:tcPr>
                  <w:tcBorders>
                    <w:top w:color="000000" w:space="0" w:sz="0" w:val="nil"/>
                    <w:left w:color="000000" w:space="0" w:sz="0" w:val="nil"/>
                    <w:bottom w:color="000000" w:space="0" w:sz="6" w:val="single"/>
                    <w:right w:color="000000" w:space="0" w:sz="0" w:val="nil"/>
                  </w:tcBorders>
                </w:tcPr>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w:t>
                  </w:r>
                </w:p>
              </w:tc>
              <w:tc>
                <w:tcPr>
                  <w:tcBorders>
                    <w:top w:color="000000" w:space="0" w:sz="0" w:val="nil"/>
                    <w:left w:color="000000" w:space="0" w:sz="4" w:val="single"/>
                    <w:bottom w:color="000000" w:space="0" w:sz="6" w:val="single"/>
                    <w:right w:color="000000" w:space="0" w:sz="4" w:val="single"/>
                  </w:tcBorders>
                </w:tcPr>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 </w:t>
                  </w:r>
                </w:p>
              </w:tc>
              <w:tc>
                <w:tcPr>
                  <w:vMerge w:val="continue"/>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1"/>
                <w:trHeight w:val="330" w:hRule="atLeast"/>
                <w:tblHeader w:val="0"/>
              </w:trPr>
              <w:tc>
                <w:tcPr>
                  <w:vMerge w:val="restart"/>
                  <w:tcBorders>
                    <w:top w:color="000000" w:space="0" w:sz="0" w:val="nil"/>
                    <w:left w:color="000000" w:space="0" w:sz="4" w:val="single"/>
                    <w:bottom w:color="000000" w:space="0" w:sz="6" w:val="single"/>
                    <w:right w:color="000000" w:space="0" w:sz="4" w:val="single"/>
                  </w:tcBorders>
                  <w:shd w:fill="auto" w:val="clear"/>
                  <w:vAlign w:val="center"/>
                </w:tcPr>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IV</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1</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Elewacja, parapety zewnętrzne, rynny</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100,00%</w:t>
                  </w:r>
                </w:p>
              </w:tc>
              <w:tc>
                <w:tcPr>
                  <w:vMerge w:val="restart"/>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20,54%</w:t>
                  </w:r>
                </w:p>
              </w:tc>
              <w:tc>
                <w:tcPr>
                  <w:vMerge w:val="restart"/>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30.12.2026</w:t>
                  </w:r>
                </w:p>
              </w:tc>
            </w:tr>
            <w:tr>
              <w:trPr>
                <w:cantSplit w:val="1"/>
                <w:trHeight w:val="315" w:hRule="atLeast"/>
                <w:tblHeader w:val="0"/>
              </w:trPr>
              <w:tc>
                <w:tcPr>
                  <w:vMerge w:val="continue"/>
                  <w:tcBorders>
                    <w:top w:color="000000" w:space="0" w:sz="0" w:val="nil"/>
                    <w:left w:color="000000" w:space="0" w:sz="4" w:val="single"/>
                    <w:bottom w:color="000000" w:space="0" w:sz="6" w:val="single"/>
                    <w:right w:color="000000" w:space="0" w:sz="4" w:val="single"/>
                  </w:tcBorders>
                  <w:shd w:fill="auto" w:val="clear"/>
                  <w:vAlign w:val="center"/>
                </w:tcPr>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2</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Przyłącza zewnętrzne</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100,00%</w:t>
                  </w:r>
                </w:p>
              </w:tc>
              <w:tc>
                <w:tcPr>
                  <w:vMerge w:val="continue"/>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1"/>
                <w:trHeight w:val="315" w:hRule="atLeast"/>
                <w:tblHeader w:val="0"/>
              </w:trPr>
              <w:tc>
                <w:tcPr>
                  <w:vMerge w:val="continue"/>
                  <w:tcBorders>
                    <w:top w:color="000000" w:space="0" w:sz="0" w:val="nil"/>
                    <w:left w:color="000000" w:space="0" w:sz="4" w:val="single"/>
                    <w:bottom w:color="000000" w:space="0" w:sz="6" w:val="single"/>
                    <w:right w:color="000000" w:space="0" w:sz="4" w:val="single"/>
                  </w:tcBorders>
                  <w:shd w:fill="auto" w:val="clear"/>
                  <w:vAlign w:val="center"/>
                </w:tcPr>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3</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Instalacja CO</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50,00%</w:t>
                  </w:r>
                </w:p>
              </w:tc>
              <w:tc>
                <w:tcPr>
                  <w:vMerge w:val="continue"/>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1"/>
                <w:trHeight w:val="315" w:hRule="atLeast"/>
                <w:tblHeader w:val="0"/>
              </w:trPr>
              <w:tc>
                <w:tcPr>
                  <w:vMerge w:val="continue"/>
                  <w:tcBorders>
                    <w:top w:color="000000" w:space="0" w:sz="0" w:val="nil"/>
                    <w:left w:color="000000" w:space="0" w:sz="4" w:val="single"/>
                    <w:bottom w:color="000000" w:space="0" w:sz="6" w:val="single"/>
                    <w:right w:color="000000" w:space="0" w:sz="4" w:val="single"/>
                  </w:tcBorders>
                  <w:shd w:fill="auto" w:val="clear"/>
                  <w:vAlign w:val="center"/>
                </w:tcPr>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4</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Instalacja elektryczna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50,00%</w:t>
                  </w:r>
                </w:p>
              </w:tc>
              <w:tc>
                <w:tcPr>
                  <w:vMerge w:val="continue"/>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1"/>
                <w:trHeight w:val="315" w:hRule="atLeast"/>
                <w:tblHeader w:val="0"/>
              </w:trPr>
              <w:tc>
                <w:tcPr>
                  <w:vMerge w:val="continue"/>
                  <w:tcBorders>
                    <w:top w:color="000000" w:space="0" w:sz="0" w:val="nil"/>
                    <w:left w:color="000000" w:space="0" w:sz="4" w:val="single"/>
                    <w:bottom w:color="000000" w:space="0" w:sz="6" w:val="single"/>
                    <w:right w:color="000000" w:space="0" w:sz="4" w:val="single"/>
                  </w:tcBorders>
                  <w:shd w:fill="auto" w:val="clear"/>
                  <w:vAlign w:val="center"/>
                </w:tcPr>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5</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Tynki wewnętrzne</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100,00%</w:t>
                  </w:r>
                </w:p>
              </w:tc>
              <w:tc>
                <w:tcPr>
                  <w:vMerge w:val="continue"/>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1"/>
                <w:trHeight w:val="315" w:hRule="atLeast"/>
                <w:tblHeader w:val="0"/>
              </w:trPr>
              <w:tc>
                <w:tcPr>
                  <w:vMerge w:val="continue"/>
                  <w:tcBorders>
                    <w:top w:color="000000" w:space="0" w:sz="0" w:val="nil"/>
                    <w:left w:color="000000" w:space="0" w:sz="4" w:val="single"/>
                    <w:bottom w:color="000000" w:space="0" w:sz="6" w:val="single"/>
                    <w:right w:color="000000" w:space="0" w:sz="4" w:val="single"/>
                  </w:tcBorders>
                  <w:shd w:fill="auto" w:val="clear"/>
                  <w:vAlign w:val="center"/>
                </w:tcPr>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6</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Posadzki</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100,00%</w:t>
                  </w:r>
                </w:p>
              </w:tc>
              <w:tc>
                <w:tcPr>
                  <w:vMerge w:val="continue"/>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1"/>
                <w:trHeight w:val="315" w:hRule="atLeast"/>
                <w:tblHeader w:val="0"/>
              </w:trPr>
              <w:tc>
                <w:tcPr>
                  <w:vMerge w:val="continue"/>
                  <w:tcBorders>
                    <w:top w:color="000000" w:space="0" w:sz="0" w:val="nil"/>
                    <w:left w:color="000000" w:space="0" w:sz="4" w:val="single"/>
                    <w:bottom w:color="000000" w:space="0" w:sz="6" w:val="single"/>
                    <w:right w:color="000000" w:space="0" w:sz="4" w:val="single"/>
                  </w:tcBorders>
                  <w:shd w:fill="auto" w:val="clear"/>
                  <w:vAlign w:val="center"/>
                </w:tcPr>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2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7</w:t>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w:t>
                  </w:r>
                </w:p>
              </w:tc>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w:t>
                  </w:r>
                </w:p>
              </w:tc>
              <w:tc>
                <w:tcPr>
                  <w:vMerge w:val="continue"/>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1"/>
                <w:trHeight w:val="330" w:hRule="atLeast"/>
                <w:tblHeader w:val="0"/>
              </w:trPr>
              <w:tc>
                <w:tcPr>
                  <w:vMerge w:val="continue"/>
                  <w:tcBorders>
                    <w:top w:color="000000" w:space="0" w:sz="0" w:val="nil"/>
                    <w:left w:color="000000" w:space="0" w:sz="4" w:val="single"/>
                    <w:bottom w:color="000000" w:space="0" w:sz="6" w:val="single"/>
                    <w:right w:color="000000" w:space="0" w:sz="4" w:val="single"/>
                  </w:tcBorders>
                  <w:shd w:fill="auto" w:val="clear"/>
                  <w:vAlign w:val="center"/>
                </w:tcPr>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6" w:val="single"/>
                    <w:right w:color="000000" w:space="0" w:sz="4" w:val="single"/>
                  </w:tcBorders>
                  <w:shd w:fill="ffffff" w:val="clear"/>
                  <w:vAlign w:val="center"/>
                </w:tcPr>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 </w:t>
                  </w:r>
                </w:p>
              </w:tc>
              <w:tc>
                <w:tcPr>
                  <w:tcBorders>
                    <w:top w:color="000000" w:space="0" w:sz="0" w:val="nil"/>
                    <w:left w:color="000000" w:space="0" w:sz="0" w:val="nil"/>
                    <w:bottom w:color="000000" w:space="0" w:sz="6" w:val="single"/>
                    <w:right w:color="000000" w:space="0" w:sz="0" w:val="nil"/>
                  </w:tcBorders>
                </w:tcPr>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w:t>
                  </w:r>
                </w:p>
              </w:tc>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w:t>
                  </w:r>
                </w:p>
              </w:tc>
              <w:tc>
                <w:tcPr>
                  <w:vMerge w:val="continue"/>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1"/>
                <w:trHeight w:val="330" w:hRule="atLeast"/>
                <w:tblHeader w:val="0"/>
              </w:trPr>
              <w:tc>
                <w:tcPr>
                  <w:vMerge w:val="restart"/>
                  <w:tcBorders>
                    <w:top w:color="000000" w:space="0" w:sz="0" w:val="nil"/>
                    <w:left w:color="000000" w:space="0" w:sz="4" w:val="single"/>
                    <w:bottom w:color="000000" w:space="0" w:sz="6" w:val="single"/>
                    <w:right w:color="000000" w:space="0" w:sz="4" w:val="single"/>
                  </w:tcBorders>
                  <w:shd w:fill="auto" w:val="clear"/>
                  <w:vAlign w:val="center"/>
                </w:tcPr>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V</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1</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Instalacja CO</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100,00%</w:t>
                  </w:r>
                </w:p>
              </w:tc>
              <w:tc>
                <w:tcPr>
                  <w:vMerge w:val="restart"/>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 15,81% </w:t>
                  </w:r>
                </w:p>
              </w:tc>
              <w:tc>
                <w:tcPr>
                  <w:vMerge w:val="restart"/>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30.04.2027</w:t>
                  </w:r>
                </w:p>
              </w:tc>
            </w:tr>
            <w:tr>
              <w:trPr>
                <w:cantSplit w:val="1"/>
                <w:trHeight w:val="315" w:hRule="atLeast"/>
                <w:tblHeader w:val="0"/>
              </w:trPr>
              <w:tc>
                <w:tcPr>
                  <w:vMerge w:val="continue"/>
                  <w:tcBorders>
                    <w:top w:color="000000" w:space="0" w:sz="0" w:val="nil"/>
                    <w:left w:color="000000" w:space="0" w:sz="4" w:val="single"/>
                    <w:bottom w:color="000000" w:space="0" w:sz="6" w:val="single"/>
                    <w:right w:color="000000" w:space="0" w:sz="4" w:val="single"/>
                  </w:tcBorders>
                  <w:shd w:fill="auto" w:val="clear"/>
                  <w:vAlign w:val="center"/>
                </w:tcPr>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2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2</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Instalacja elektryczna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100,00%</w:t>
                  </w:r>
                </w:p>
              </w:tc>
              <w:tc>
                <w:tcPr>
                  <w:vMerge w:val="continue"/>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1"/>
                <w:trHeight w:val="315" w:hRule="atLeast"/>
                <w:tblHeader w:val="0"/>
              </w:trPr>
              <w:tc>
                <w:tcPr>
                  <w:vMerge w:val="continue"/>
                  <w:tcBorders>
                    <w:top w:color="000000" w:space="0" w:sz="0" w:val="nil"/>
                    <w:left w:color="000000" w:space="0" w:sz="4" w:val="single"/>
                    <w:bottom w:color="000000" w:space="0" w:sz="6" w:val="single"/>
                    <w:right w:color="000000" w:space="0" w:sz="4" w:val="single"/>
                  </w:tcBorders>
                  <w:shd w:fill="auto" w:val="clear"/>
                  <w:vAlign w:val="center"/>
                </w:tcPr>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3</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Elewacja, parapety zewnętrzne, rynny</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100,00%</w:t>
                  </w:r>
                </w:p>
              </w:tc>
              <w:tc>
                <w:tcPr>
                  <w:vMerge w:val="continue"/>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1"/>
                <w:trHeight w:val="315" w:hRule="atLeast"/>
                <w:tblHeader w:val="0"/>
              </w:trPr>
              <w:tc>
                <w:tcPr>
                  <w:vMerge w:val="continue"/>
                  <w:tcBorders>
                    <w:top w:color="000000" w:space="0" w:sz="0" w:val="nil"/>
                    <w:left w:color="000000" w:space="0" w:sz="4" w:val="single"/>
                    <w:bottom w:color="000000" w:space="0" w:sz="6" w:val="single"/>
                    <w:right w:color="000000" w:space="0" w:sz="4" w:val="single"/>
                  </w:tcBorders>
                  <w:shd w:fill="auto" w:val="clear"/>
                  <w:vAlign w:val="center"/>
                </w:tcPr>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2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4</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Parapety wewnętrzne, drzwi zewnętrzne</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100,00%</w:t>
                  </w:r>
                </w:p>
              </w:tc>
              <w:tc>
                <w:tcPr>
                  <w:vMerge w:val="continue"/>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1"/>
                <w:trHeight w:val="315" w:hRule="atLeast"/>
                <w:tblHeader w:val="0"/>
              </w:trPr>
              <w:tc>
                <w:tcPr>
                  <w:vMerge w:val="continue"/>
                  <w:tcBorders>
                    <w:top w:color="000000" w:space="0" w:sz="0" w:val="nil"/>
                    <w:left w:color="000000" w:space="0" w:sz="4" w:val="single"/>
                    <w:bottom w:color="000000" w:space="0" w:sz="6" w:val="single"/>
                    <w:right w:color="000000" w:space="0" w:sz="4" w:val="single"/>
                  </w:tcBorders>
                  <w:shd w:fill="auto" w:val="clear"/>
                  <w:vAlign w:val="center"/>
                </w:tcPr>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5</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Ocieplenie dachu, sufity i skosy GK</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100,00%</w:t>
                  </w:r>
                </w:p>
              </w:tc>
              <w:tc>
                <w:tcPr>
                  <w:vMerge w:val="continue"/>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1"/>
                <w:trHeight w:val="315" w:hRule="atLeast"/>
                <w:tblHeader w:val="0"/>
              </w:trPr>
              <w:tc>
                <w:tcPr>
                  <w:vMerge w:val="continue"/>
                  <w:tcBorders>
                    <w:top w:color="000000" w:space="0" w:sz="0" w:val="nil"/>
                    <w:left w:color="000000" w:space="0" w:sz="4" w:val="single"/>
                    <w:bottom w:color="000000" w:space="0" w:sz="6" w:val="single"/>
                    <w:right w:color="000000" w:space="0" w:sz="4" w:val="single"/>
                  </w:tcBorders>
                  <w:shd w:fill="auto" w:val="clear"/>
                  <w:vAlign w:val="center"/>
                </w:tcPr>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2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6</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Zagospodarowanie terenu</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100,00%</w:t>
                  </w:r>
                </w:p>
              </w:tc>
              <w:tc>
                <w:tcPr>
                  <w:vMerge w:val="continue"/>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1"/>
                <w:trHeight w:val="315" w:hRule="atLeast"/>
                <w:tblHeader w:val="0"/>
              </w:trPr>
              <w:tc>
                <w:tcPr>
                  <w:vMerge w:val="continue"/>
                  <w:tcBorders>
                    <w:top w:color="000000" w:space="0" w:sz="0" w:val="nil"/>
                    <w:left w:color="000000" w:space="0" w:sz="4" w:val="single"/>
                    <w:bottom w:color="000000" w:space="0" w:sz="6" w:val="single"/>
                    <w:right w:color="000000" w:space="0" w:sz="4" w:val="single"/>
                  </w:tcBorders>
                  <w:shd w:fill="auto" w:val="clear"/>
                  <w:vAlign w:val="center"/>
                </w:tcPr>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7</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Ogrodzenie, droga wewnętrzna i podjazdy z polbruku</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100,00%</w:t>
                  </w:r>
                </w:p>
              </w:tc>
              <w:tc>
                <w:tcPr>
                  <w:vMerge w:val="continue"/>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1"/>
                <w:trHeight w:val="315" w:hRule="atLeast"/>
                <w:tblHeader w:val="0"/>
              </w:trPr>
              <w:tc>
                <w:tcPr>
                  <w:vMerge w:val="continue"/>
                  <w:tcBorders>
                    <w:top w:color="000000" w:space="0" w:sz="0" w:val="nil"/>
                    <w:left w:color="000000" w:space="0" w:sz="4" w:val="single"/>
                    <w:bottom w:color="000000" w:space="0" w:sz="6" w:val="single"/>
                    <w:right w:color="000000" w:space="0" w:sz="4" w:val="single"/>
                  </w:tcBorders>
                  <w:shd w:fill="auto" w:val="clear"/>
                  <w:vAlign w:val="center"/>
                </w:tcPr>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2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8</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2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w:t>
                  </w:r>
                </w:p>
              </w:tc>
              <w:tc>
                <w:tcPr>
                  <w:vMerge w:val="continue"/>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1"/>
                <w:trHeight w:val="330" w:hRule="atLeast"/>
                <w:tblHeader w:val="0"/>
              </w:trPr>
              <w:tc>
                <w:tcPr>
                  <w:vMerge w:val="continue"/>
                  <w:tcBorders>
                    <w:top w:color="000000" w:space="0" w:sz="0" w:val="nil"/>
                    <w:left w:color="000000" w:space="0" w:sz="4" w:val="single"/>
                    <w:bottom w:color="000000" w:space="0" w:sz="6" w:val="single"/>
                    <w:right w:color="000000" w:space="0" w:sz="4" w:val="single"/>
                  </w:tcBorders>
                  <w:shd w:fill="auto" w:val="clear"/>
                  <w:vAlign w:val="center"/>
                </w:tcPr>
                <w:p w:rsidR="00000000" w:rsidDel="00000000" w:rsidP="00000000" w:rsidRDefault="00000000" w:rsidRPr="00000000" w14:paraId="000002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6" w:val="single"/>
                    <w:right w:color="000000" w:space="0" w:sz="4" w:val="single"/>
                  </w:tcBorders>
                  <w:shd w:fill="ffffff" w:val="clear"/>
                  <w:vAlign w:val="center"/>
                </w:tcPr>
                <w:p w:rsidR="00000000" w:rsidDel="00000000" w:rsidP="00000000" w:rsidRDefault="00000000" w:rsidRPr="00000000" w14:paraId="000002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9</w:t>
                  </w:r>
                </w:p>
              </w:tc>
              <w:tc>
                <w:tcPr>
                  <w:tcBorders>
                    <w:top w:color="000000" w:space="0" w:sz="4" w:val="single"/>
                    <w:left w:color="000000" w:space="0" w:sz="0" w:val="nil"/>
                    <w:bottom w:color="000000" w:space="0" w:sz="6" w:val="single"/>
                    <w:right w:color="000000" w:space="0" w:sz="4" w:val="single"/>
                  </w:tcBorders>
                </w:tcPr>
                <w:p w:rsidR="00000000" w:rsidDel="00000000" w:rsidP="00000000" w:rsidRDefault="00000000" w:rsidRPr="00000000" w14:paraId="000002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w:t>
                  </w:r>
                </w:p>
              </w:tc>
              <w:tc>
                <w:tcPr>
                  <w:tcBorders>
                    <w:top w:color="000000" w:space="0" w:sz="0" w:val="nil"/>
                    <w:left w:color="000000" w:space="0" w:sz="0" w:val="nil"/>
                    <w:bottom w:color="000000" w:space="0" w:sz="6" w:val="single"/>
                    <w:right w:color="000000" w:space="0" w:sz="4" w:val="single"/>
                  </w:tcBorders>
                </w:tcPr>
                <w:p w:rsidR="00000000" w:rsidDel="00000000" w:rsidP="00000000" w:rsidRDefault="00000000" w:rsidRPr="00000000" w14:paraId="000002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 </w:t>
                  </w:r>
                </w:p>
              </w:tc>
              <w:tc>
                <w:tcPr>
                  <w:vMerge w:val="continue"/>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rHeight w:val="330"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2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2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2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2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shd w:fill="fcd5b4" w:val="clear"/>
                </w:tcPr>
                <w:p w:rsidR="00000000" w:rsidDel="00000000" w:rsidP="00000000" w:rsidRDefault="00000000" w:rsidRPr="00000000" w14:paraId="000002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16"/>
                      <w:szCs w:val="16"/>
                      <w:u w:val="none"/>
                      <w:shd w:fill="auto" w:val="clear"/>
                      <w:vertAlign w:val="baseline"/>
                      <w:rtl w:val="0"/>
                    </w:rPr>
                    <w:t xml:space="preserve">100,00%</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cd5b4" w:val="clear"/>
                </w:tcPr>
                <w:p w:rsidR="00000000" w:rsidDel="00000000" w:rsidP="00000000" w:rsidRDefault="00000000" w:rsidRPr="00000000" w14:paraId="000002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2B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ff0000"/>
                <w:sz w:val="20"/>
                <w:szCs w:val="20"/>
                <w:u w:val="none"/>
                <w:shd w:fill="auto" w:val="clear"/>
                <w:vertAlign w:val="baseline"/>
              </w:rPr>
            </w:pPr>
            <w:r w:rsidDel="00000000" w:rsidR="00000000" w:rsidRPr="00000000">
              <w:rPr>
                <w:rtl w:val="0"/>
              </w:rPr>
            </w:r>
          </w:p>
        </w:tc>
      </w:tr>
      <w:tr>
        <w:trPr>
          <w:cantSplit w:val="0"/>
          <w:trHeight w:val="593" w:hRule="atLeast"/>
          <w:tblHeader w:val="0"/>
        </w:trPr>
        <w:tc>
          <w:tcPr>
            <w:shd w:fill="f3f3f3" w:val="clear"/>
            <w:vAlign w:val="top"/>
          </w:tcPr>
          <w:p w:rsidR="00000000" w:rsidDel="00000000" w:rsidP="00000000" w:rsidRDefault="00000000" w:rsidRPr="00000000" w14:paraId="000002BF">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Dopuszczenie waloryzacji ceny oraz określenie zasad waloryzacji</w:t>
            </w:r>
          </w:p>
        </w:tc>
        <w:tc>
          <w:tcPr>
            <w:gridSpan w:val="4"/>
            <w:vAlign w:val="center"/>
          </w:tcPr>
          <w:p w:rsidR="00000000" w:rsidDel="00000000" w:rsidP="00000000" w:rsidRDefault="00000000" w:rsidRPr="00000000" w14:paraId="000002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Cena podlega zmianie w przypadku zmiany stawki podatku VAT. o kwotę tego podatku.</w:t>
            </w:r>
          </w:p>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wystąpienia różnicy pomiędzy powierzchnią użytkową lokalu mieszkalnego wynikającą z dokumentacji technicznej, a ustalonej w wyniku obmiaru powykonawczego.</w:t>
            </w:r>
          </w:p>
          <w:p w:rsidR="00000000" w:rsidDel="00000000" w:rsidP="00000000" w:rsidRDefault="00000000" w:rsidRPr="00000000" w14:paraId="000002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Cena zostanie ostatecznie ustalona w oparciu o powierzchnię użytkową lokalu mieszkalnego przy uwzględnieniu ustalonej przez strony ceny brutto za 1m2 powierzchni. W przypadku stwierdzenia różnic pomiędzy ostateczną powierzchnią użytkową lokalu mieszkalnego a powierzchnią użytkową wskazaną w § 6 niniejszego aktu, cena ulegnie proporcjonalnemu podwyższeniu albo obniżeniu.</w:t>
            </w:r>
            <w:r w:rsidDel="00000000" w:rsidR="00000000" w:rsidRPr="00000000">
              <w:rPr>
                <w:rtl w:val="0"/>
              </w:rPr>
            </w:r>
          </w:p>
        </w:tc>
      </w:tr>
      <w:tr>
        <w:trPr>
          <w:cantSplit w:val="0"/>
          <w:tblHeader w:val="0"/>
        </w:trPr>
        <w:tc>
          <w:tcPr>
            <w:gridSpan w:val="5"/>
            <w:shd w:fill="e0e0e0" w:val="clear"/>
            <w:vAlign w:val="top"/>
          </w:tcPr>
          <w:p w:rsidR="00000000" w:rsidDel="00000000" w:rsidP="00000000" w:rsidRDefault="00000000" w:rsidRPr="00000000" w14:paraId="000002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WARUNKI ODSTĄPIENIA OD UMOWY DEWELOPERSKIEJ LUB UMOWY, O KTÓREJ MOWA</w:t>
            </w:r>
            <w:r w:rsidDel="00000000" w:rsidR="00000000" w:rsidRPr="00000000">
              <w:rPr>
                <w:rtl w:val="0"/>
              </w:rPr>
            </w:r>
          </w:p>
          <w:p w:rsidR="00000000" w:rsidDel="00000000" w:rsidP="00000000" w:rsidRDefault="00000000" w:rsidRPr="00000000" w14:paraId="000002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W ART. 2 UST. 1 PKT 2, 3 LUB 5 USTAWY Z DNIA 20 MAJA 2021 R. O OCHRONIE PRAW NABYWCY</w:t>
            </w:r>
            <w:r w:rsidDel="00000000" w:rsidR="00000000" w:rsidRPr="00000000">
              <w:rPr>
                <w:rtl w:val="0"/>
              </w:rPr>
            </w:r>
          </w:p>
          <w:p w:rsidR="00000000" w:rsidDel="00000000" w:rsidP="00000000" w:rsidRDefault="00000000" w:rsidRPr="00000000" w14:paraId="000002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LOKALU MIESZKALNEGO LUB DOMU JEDNORODZINNEGO ORAZ DEWELOPERSKIM FUNDUSZU GWARANCYJNYM</w:t>
            </w:r>
            <w:r w:rsidDel="00000000" w:rsidR="00000000" w:rsidRPr="00000000">
              <w:rPr>
                <w:rtl w:val="0"/>
              </w:rPr>
            </w:r>
          </w:p>
        </w:tc>
      </w:tr>
      <w:tr>
        <w:trPr>
          <w:cantSplit w:val="0"/>
          <w:trHeight w:val="1512" w:hRule="atLeast"/>
          <w:tblHeader w:val="0"/>
        </w:trPr>
        <w:tc>
          <w:tcPr>
            <w:shd w:fill="f3f3f3" w:val="clear"/>
            <w:vAlign w:val="top"/>
          </w:tcPr>
          <w:p w:rsidR="00000000" w:rsidDel="00000000" w:rsidP="00000000" w:rsidRDefault="00000000" w:rsidRPr="00000000" w14:paraId="000002CD">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Warunki, na jakich można odstąpić od umowy deweloperskiej lub jednej z umów, o których mowa w art. 2 ust. 1 pkt 2, 3 lub 5 ustawy z dnia 20 maja 2021 r. o ochronie praw nabywcy lokalu mieszkalnego lub domu jednorodzinnego oraz Deweloperskim Funduszu Gwarancyjnym</w:t>
            </w:r>
          </w:p>
        </w:tc>
        <w:tc>
          <w:tcPr>
            <w:gridSpan w:val="4"/>
            <w:vAlign w:val="top"/>
          </w:tcPr>
          <w:p w:rsidR="00000000" w:rsidDel="00000000" w:rsidP="00000000" w:rsidRDefault="00000000" w:rsidRPr="00000000" w14:paraId="000002C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Zgodnie z treścią art. 43 ustawy z dnia 20 maja 2021 roku o ochronie praw nabywcy lokalu mieszkalnego lub domu jednorodzinnego oraz Deweloperskim Funduszu Gwarancyjnym:</w:t>
            </w:r>
          </w:p>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Nabywca</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ma prawo odstąpić od umowy deweloperskiej w terminie 30 (trzydziestu) dni, licząc od dnia jej zawarcia, to jest od dnia dzisiejszego, w przypadku, gdy:</w:t>
            </w:r>
          </w:p>
          <w:p w:rsidR="00000000" w:rsidDel="00000000" w:rsidP="00000000" w:rsidRDefault="00000000" w:rsidRPr="00000000" w14:paraId="000002D0">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umowa nie zawiera elementów określonych w art. 35 wyżej wymienionej ustawy,</w:t>
            </w:r>
          </w:p>
          <w:p w:rsidR="00000000" w:rsidDel="00000000" w:rsidP="00000000" w:rsidRDefault="00000000" w:rsidRPr="00000000" w14:paraId="000002D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informacje zawarte w umowie deweloperskiej nie są zgodne z informacjami zawartymi w prospekcie informacyjnym lub w  jego załącznikach, z wyjątkiem zmian, o których mowa w art. 35 ust. 2 wyżej wymienionej ustawy, </w:t>
            </w:r>
          </w:p>
          <w:p w:rsidR="00000000" w:rsidDel="00000000" w:rsidP="00000000" w:rsidRDefault="00000000" w:rsidRPr="00000000" w14:paraId="000002D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Deweloper nie doręczył zgodnie z art. 21 lub art. 22 wyżej wymienionej ustawy prospektu informacyjnego wraz z załącznikami lub informacji o zmianie danych lub informacji zawartych w prospekcie informacyjnym lub jego załącznikach, </w:t>
            </w:r>
          </w:p>
          <w:p w:rsidR="00000000" w:rsidDel="00000000" w:rsidP="00000000" w:rsidRDefault="00000000" w:rsidRPr="00000000" w14:paraId="000002D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dane lub informacje zawarte w prospekcie informacyjnym lub jego załącznikach, na podstawie których zawarto umowę deweloperską są niezgodne ze stanem faktycznym lub prawnym w dniu zawarcia umowy,</w:t>
            </w:r>
          </w:p>
          <w:p w:rsidR="00000000" w:rsidDel="00000000" w:rsidP="00000000" w:rsidRDefault="00000000" w:rsidRPr="00000000" w14:paraId="000002D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e)</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prospekt informacyjny, na podstawie którego zawarto umowę deweloperską, nie zawiera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danych lub  informacji określonych we wzorze prospektu informacyjnego stanowiącego załącznik do wyżej wymienionej ustawy, </w:t>
            </w:r>
          </w:p>
          <w:p w:rsidR="00000000" w:rsidDel="00000000" w:rsidP="00000000" w:rsidRDefault="00000000" w:rsidRPr="00000000" w14:paraId="000002D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w przypadku nie przeniesienia przez Dewelopera na Nabywcę praw wynikających z</w:t>
            </w:r>
            <w:r w:rsidDel="00000000" w:rsidR="00000000" w:rsidRPr="00000000">
              <w:rPr>
                <w:rFonts w:ascii="Times New Roman" w:cs="Times New Roman" w:eastAsia="Times New Roman" w:hAnsi="Times New Roman"/>
                <w:b w:val="0"/>
                <w:bCs w:val="0"/>
                <w:i w:val="0"/>
                <w:iCs w:val="0"/>
                <w:smallCaps w:val="0"/>
                <w:strike w:val="1"/>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umowy deweloperskiej w terminie określonym w § 7 umowy deweloperskiej, Przed skorzystaniem z prawa odstąpienia Nabywca wyznaczy Deweloperowi 120 (sto dwadzieścia) - dniowy termin na przeniesienie własności przedmiotu umowy deweloperskiej; w razie bezskutecznego upływu wyznaczonego terminu, Nabywca ma prawo odstąpić od niniejszej umowy i w tym przypadku zachowuje roszczenie z tytułu kary umownej za okres wyżej wymienionego opóźnienia, </w:t>
            </w:r>
          </w:p>
          <w:p w:rsidR="00000000" w:rsidDel="00000000" w:rsidP="00000000" w:rsidRDefault="00000000" w:rsidRPr="00000000" w14:paraId="000002D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3) </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w przypadku,</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gdy Deweloper nie zawrze umowy mieszkaniowego rachunku powierniczego z innym bankiem lub kasą</w:t>
            </w:r>
            <w:r w:rsidDel="00000000" w:rsidR="00000000" w:rsidRPr="00000000">
              <w:rPr>
                <w:rFonts w:ascii="Times New Roman" w:cs="Times New Roman" w:eastAsia="Times New Roman" w:hAnsi="Times New Roman"/>
                <w:b w:val="0"/>
                <w:bCs w:val="0"/>
                <w:i w:val="0"/>
                <w:iCs w:val="0"/>
                <w:smallCaps w:val="0"/>
                <w:strike w:val="0"/>
                <w:color w:val="ff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w trybie i terminie, o których mowa w art. 10 ust. 1 wyżej wymienionej ustawy, Nabywca ma prawo odstąpić od niniejszej umowy po dokonaniu przez bank zwrotu środków zgodnie z art. 10 ust. 3 wyżej wymienionej ustawy,</w:t>
            </w:r>
          </w:p>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4) </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w</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przypadku, gdy Deweloper nie posiada zgody wierzyciela hipotecznego lub zobowiązania do jej udzielenia, o których mowa w art. 25 ust. 1 pkt 1 lub 2 wyżej wymienionej ustawy, Nabywca ma prawo odstąpić od niniejszej umowy w terminie 60 (sześćdziesiąt) dni od dnia zawarcia niniejszej umowy,</w:t>
            </w:r>
          </w:p>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5) </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w przypadku niewykonania przez Dewelopera obowiązku, o którym mowa w art. 12 ust. 2 wyżej wymienionej ustawy, w terminie określonym w tym przepisie, Nabywca ma prawo odstąpić od niniejszej umowy po upływie 60 dni od dnia podania do publicznej wiadomości informacji, o których mowa w art. 12 ust. 1 wyżej wymienionej ustawy,</w:t>
            </w:r>
          </w:p>
          <w:p w:rsidR="00000000" w:rsidDel="00000000" w:rsidP="00000000" w:rsidRDefault="00000000" w:rsidRPr="00000000" w14:paraId="000002D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6) </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Nabywca ma prawo odstąpić od niniejszej umowy:</w:t>
            </w:r>
          </w:p>
          <w:p w:rsidR="00000000" w:rsidDel="00000000" w:rsidP="00000000" w:rsidRDefault="00000000" w:rsidRPr="00000000" w14:paraId="000002D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a) </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w przypadku nieusunięcia przez Dewelopera wady istotnej lokalu mieszkalnego na zasadach określonych w art. 41 ust. 11 wyżej wymienionej ustawy,</w:t>
            </w:r>
          </w:p>
          <w:p w:rsidR="00000000" w:rsidDel="00000000" w:rsidP="00000000" w:rsidRDefault="00000000" w:rsidRPr="00000000" w14:paraId="000002D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w przypadku stwierdzenia przez rzeczoznawcę istnienia wady istotnej, o którym mowa w art. 41 ust. 15 wyżej wymienionej ustawy,</w:t>
            </w:r>
          </w:p>
          <w:p w:rsidR="00000000" w:rsidDel="00000000" w:rsidP="00000000" w:rsidRDefault="00000000" w:rsidRPr="00000000" w14:paraId="000002D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jeżeli syndyk zażądał wykonania umowy na podstawie art. 98 ustawy z dnia 28 lutego 2003 r. - Prawo upadłościowe,</w:t>
            </w:r>
          </w:p>
          <w:p w:rsidR="00000000" w:rsidDel="00000000" w:rsidP="00000000" w:rsidRDefault="00000000" w:rsidRPr="00000000" w14:paraId="000002D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_________________________________________</w:t>
            </w:r>
            <w:r w:rsidDel="00000000" w:rsidR="00000000" w:rsidRPr="00000000">
              <w:rPr>
                <w:rtl w:val="0"/>
              </w:rPr>
            </w:r>
          </w:p>
          <w:p w:rsidR="00000000" w:rsidDel="00000000" w:rsidP="00000000" w:rsidRDefault="00000000" w:rsidRPr="00000000" w14:paraId="000002D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Times New Roman" w:cs="Times New Roman" w:eastAsia="Times New Roman" w:hAnsi="Times New Roman"/>
                <w:b w:val="0"/>
                <w:bCs w:val="0"/>
                <w:i w:val="0"/>
                <w:iCs w:val="0"/>
                <w:smallCaps w:val="0"/>
                <w:strike w:val="0"/>
                <w:color w:val="000000"/>
                <w:sz w:val="16"/>
                <w:szCs w:val="16"/>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Deweloper</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ma prawo odstąpić od niniejszej umowy w przypadku niespełnienia przez Nabywcę świadczenia pieniężnego w terminach i wysokościach określonych w § 8 ust. 5 umowy deweloperskiej, pomimo wezwania Nabywcy w formie pisemnej do uiszczenia zaległych kwot w terminie 30 dni, licząc od dnia doręczenia wezwania listem poleconym, chyba że niespełnienie przez Nabywcę świadczenia pieniężnego jest spowodowane działaniem siły wyższej,</w:t>
            </w:r>
            <w:r w:rsidDel="00000000" w:rsidR="00000000" w:rsidRPr="00000000">
              <w:rPr>
                <w:rtl w:val="0"/>
              </w:rPr>
            </w:r>
          </w:p>
          <w:p w:rsidR="00000000" w:rsidDel="00000000" w:rsidP="00000000" w:rsidRDefault="00000000" w:rsidRPr="00000000" w14:paraId="000002D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Deweloper ma prawo odstąpić od niniejszej umowy w przypadku niestawienia się Nabywcy do odbioru przedmiotowego lokalu mieszkalnego lub podpisania aktu notarialnego przenoszącego na Nabywcę praw wynikających z umowy deweloperskiej, pomimo dwukrotnego doręczenia jemu wezwania w formie pisemnej listem poleconym w odstępie co najmniej 60 (sześćdziesiąt) dni, chyba że niestawiennictwo Nabywcy jest spowodowane działaniem siły wyższej.</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E0">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Zgodnie z treścią art. 45 ust. 1 ustawy z dnia 20 maja 2021 roku o ochronie praw nabywcy lokalu mieszkalnego lub domu jednorodzinnego oraz Deweloperskim Funduszu Gwarancyjnym, oświadczenie woli Nabywcy o odstąpieniu od niniejszej umowy jest skuteczne, jeżeli złożone będzie w formie pisemnej z poświadczonym i zawierać będzie zgodę na wykreślenie z działu III księgi wieczystej roszczenia wynikającego z niniejszej umowy, wpisanego na rzecz Nabywcy zgodnie z treścią art. 45 ust. 2 ustawy z dnia 20 maja 2021 roku o ochronie praw nabywcy lokalu mieszkalnego lub domu jednorodzinnego oraz Deweloperskim Funduszu Gwarancyjnym, w przypadku odstąpienia od niniejszej umowy przez Dewelopera, z przyczyn, o których wyżej mowa, Nabywca zobowiązuje się wyrazić zgodę w formie pisemnej z podpisem notarialnie poświadczonym, na wykreślenie z działu III księgi wieczystej roszczenia wynikającego z niniejszej umowy, wpisanego na rzecz Nabywcy</w:t>
            </w:r>
          </w:p>
          <w:p w:rsidR="00000000" w:rsidDel="00000000" w:rsidP="00000000" w:rsidRDefault="00000000" w:rsidRPr="00000000" w14:paraId="000002E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E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Jeżeli wystąpi różnica w powierzchni użytkowej lokalu mieszkalnego przekraczająca 2 (dwa) % pomiędzy projektowaną powierzchnią użytkową lokalu mieszkalnego, a powierzchnią rzeczywistą ustaloną w wyniku obmiaru powykonawczego zgodnie z normą PN-ISO 9836:2022-07, Nabywcy przysługuje wówczas prawo do odstąpienia od niniejszej umowy (chyba, że różnica ta wynikać będzie ze zmian wprowadzonych przez Nabywcę), a kwota przez niego wpłacona zostanie jemu zwrócona w terminie 30 dni od daty odstąpienia od umowy. Prawo odstąpienia z powyższego powodu przysługuje Nabywcy w terminie 30 dni od dnia doręczenia Nabywcy przez Dewelopera zawiadomienia o przekroczeniu 2% różnicy powierzchni lokalu pomiędzy projektowaną powierzchnią użytkową lokalu mieszkalnego, a powierzchnią rzeczywistą ustaloną w wyniku obmiaru powykonawczego</w:t>
            </w:r>
          </w:p>
          <w:p w:rsidR="00000000" w:rsidDel="00000000" w:rsidP="00000000" w:rsidRDefault="00000000" w:rsidRPr="00000000" w14:paraId="000002E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W przypadku zmiany stawek podatku od towarów i usług w budownictwie, o kwoty tego podatku, a w razie podwyższenia z tej przyczyny przez Dewelopera ceny za lokal mieszkalny, Nabywcy przysługiwać będzie prawo odstąpienia od niniejszej umowy w terminie 30 (trzydziestu) dni od daty otrzymania zawiadomienia o jej podwyższeniu</w:t>
            </w:r>
            <w:r w:rsidDel="00000000" w:rsidR="00000000" w:rsidRPr="00000000">
              <w:rPr>
                <w:rtl w:val="0"/>
              </w:rPr>
            </w:r>
          </w:p>
        </w:tc>
      </w:tr>
      <w:tr>
        <w:trPr>
          <w:cantSplit w:val="0"/>
          <w:trHeight w:val="510" w:hRule="atLeast"/>
          <w:tblHeader w:val="0"/>
        </w:trPr>
        <w:tc>
          <w:tcPr>
            <w:gridSpan w:val="5"/>
            <w:shd w:fill="d2cfad" w:val="clear"/>
            <w:vAlign w:val="top"/>
          </w:tcPr>
          <w:p w:rsidR="00000000" w:rsidDel="00000000" w:rsidP="00000000" w:rsidRDefault="00000000" w:rsidRPr="00000000" w14:paraId="000002E7">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INNE INFORMACJE </w:t>
            </w:r>
            <w:r w:rsidDel="00000000" w:rsidR="00000000" w:rsidRPr="00000000">
              <w:rPr>
                <w:rtl w:val="0"/>
              </w:rPr>
            </w:r>
          </w:p>
        </w:tc>
      </w:tr>
      <w:tr>
        <w:trPr>
          <w:cantSplit w:val="0"/>
          <w:trHeight w:val="263" w:hRule="atLeast"/>
          <w:tblHeader w:val="0"/>
        </w:trPr>
        <w:tc>
          <w:tcPr>
            <w:gridSpan w:val="5"/>
            <w:tcBorders>
              <w:bottom w:color="000000" w:space="0" w:sz="0" w:val="nil"/>
            </w:tcBorders>
            <w:shd w:fill="f3f3f3" w:val="clear"/>
            <w:vAlign w:val="top"/>
          </w:tcPr>
          <w:p w:rsidR="00000000" w:rsidDel="00000000" w:rsidP="00000000" w:rsidRDefault="00000000" w:rsidRPr="00000000" w14:paraId="000002E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 Informacja o: </w:t>
            </w:r>
          </w:p>
          <w:p w:rsidR="00000000" w:rsidDel="00000000" w:rsidP="00000000" w:rsidRDefault="00000000" w:rsidRPr="00000000" w14:paraId="000002E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zgodzie banku, kasy lub innego wierzyciela hipotecznego na bezobciążeniowe ustanowienie odrębnej własności lokalu mieszkalnego i przeniesienie jego własności na nabywcę po wpłacie pełnej ceny przez nabywcę lub zobowiązaniu do jej udzielenia, jeżeli takie obciążenie istnieje, albo zgodzie banku, kasy lub innego wierzyciela hipotecznego na bezobciążeniowe przeniesienie na nabywcę własności nieruchomości wraz z domem jednorodzinnym lub użytkowania wieczystego nieruchomości gruntowej i własności domu jednorodzinnego stanowiącego odrębną nieruchomość, lub przeniesienie ułamkowej części własności nieruchomości wraz z prawem do wyłącznego korzystania z części nieruchomości służącej zaspokajaniu potrzeb mieszkaniowych po wpłacie pełnej ceny przez nabywcę lub zobowiązaniu do jej udzielenia, jeżeli takie obciążenie istnieje; -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NIE DOTYCZY</w:t>
            </w:r>
            <w:r w:rsidDel="00000000" w:rsidR="00000000" w:rsidRPr="00000000">
              <w:rPr>
                <w:rtl w:val="0"/>
              </w:rPr>
            </w:r>
          </w:p>
          <w:p w:rsidR="00000000" w:rsidDel="00000000" w:rsidP="00000000" w:rsidRDefault="00000000" w:rsidRPr="00000000" w14:paraId="000002E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 w przypadku umów, o których mowa w art. 2 ust. 2 ustawy z dnia 20 maja 2021 r. o ochronie praw nabywcy lokalu mieszkalnego lub domu jednorodzinnego oraz Deweloperskim Funduszu Gwarancyjnym, o zgodzie banku, kasy lub innego wierzyciela hipotecznego na bezobciążeniowe przeniesienie własności lokalu użytkowego na nabywcę po wpłacie pełnej ceny przez nabywcę lub zobowiązaniu do udzielenia takiej zgody, jeżeli takie obciążenie istnieje, albo zgodzie banku, kasy lub innego wierzyciela hipotecznego na bezobciążeniowe przeniesienie na nabywcę ułamkowej części własności lokalu użytkowego po wpłacie pełnej ceny przez nabywcę lub zobowiązaniu do udzielenia takiej zgody, jeżeli takie obciążenie istnieje. –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NIE DOTYCZY</w:t>
            </w:r>
            <w:r w:rsidDel="00000000" w:rsidR="00000000" w:rsidRPr="00000000">
              <w:rPr>
                <w:rtl w:val="0"/>
              </w:rPr>
            </w:r>
          </w:p>
          <w:p w:rsidR="00000000" w:rsidDel="00000000" w:rsidP="00000000" w:rsidRDefault="00000000" w:rsidRPr="00000000" w14:paraId="000002E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II. Informacja o możliwości zapoznania się w lokalu przedsiębiorstwa przez osobę zainteresowaną zawarciem umowy, odpowiednio do zakresu umowy z:</w:t>
            </w:r>
          </w:p>
          <w:p w:rsidR="00000000" w:rsidDel="00000000" w:rsidP="00000000" w:rsidRDefault="00000000" w:rsidRPr="00000000" w14:paraId="000002F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aktualnym stanem księgi wieczystej prowadzonej dla nieruchomości;</w:t>
            </w:r>
          </w:p>
          <w:p w:rsidR="00000000" w:rsidDel="00000000" w:rsidP="00000000" w:rsidRDefault="00000000" w:rsidRPr="00000000" w14:paraId="000002F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 aktualnym odpisem, wyciągiem, zaświadczeniem lub wydrukiem komputerowym z Centralnej Informacji Krajowego Rejestru Sądowego, jeżeli podmiot podlega wpisowi do Krajowego Rejestru Sądowego, albo aktualnym zaświadczeniem o wpisie do Centralnej Ewidencji i Informacji o Działalności Gospodarczej;</w:t>
            </w:r>
          </w:p>
          <w:p w:rsidR="00000000" w:rsidDel="00000000" w:rsidP="00000000" w:rsidRDefault="00000000" w:rsidRPr="00000000" w14:paraId="000002F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 pozwoleniem na budowę albo zgłoszeniem budowy, o którym mowa w art. 29 ust. 1 pkt 1 ustawy z dnia 7 lipca 1994 r. – Prawo budowlane, do którego organ administracji architektoniczno-budowlanej nie wniósł sprzeciwu;</w:t>
            </w:r>
          </w:p>
          <w:p w:rsidR="00000000" w:rsidDel="00000000" w:rsidP="00000000" w:rsidRDefault="00000000" w:rsidRPr="00000000" w14:paraId="000002F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 sprawozdaniem finansowym dewelopera za ostatnie dwa lata, a w przypadku:</w:t>
            </w:r>
          </w:p>
          <w:p w:rsidR="00000000" w:rsidDel="00000000" w:rsidP="00000000" w:rsidRDefault="00000000" w:rsidRPr="00000000" w14:paraId="000002F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 prowadzenia działalności przez okres krótszy niż dwa lata – sprawozdaniem finansowym za okres ostatniego roku,-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NIE DOTYCZY</w:t>
            </w:r>
            <w:r w:rsidDel="00000000" w:rsidR="00000000" w:rsidRPr="00000000">
              <w:rPr>
                <w:rtl w:val="0"/>
              </w:rPr>
            </w:r>
          </w:p>
          <w:p w:rsidR="00000000" w:rsidDel="00000000" w:rsidP="00000000" w:rsidRDefault="00000000" w:rsidRPr="00000000" w14:paraId="000002F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 realizacji inwestycji przez spółkę celową – sprawozdaniem spółki dominującej oraz spółki celowej;-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NIE DOTYCZY</w:t>
            </w:r>
            <w:r w:rsidDel="00000000" w:rsidR="00000000" w:rsidRPr="00000000">
              <w:rPr>
                <w:rtl w:val="0"/>
              </w:rPr>
            </w:r>
          </w:p>
          <w:p w:rsidR="00000000" w:rsidDel="00000000" w:rsidP="00000000" w:rsidRDefault="00000000" w:rsidRPr="00000000" w14:paraId="000002F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 projektem budowlanym;</w:t>
            </w:r>
          </w:p>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 decyzją o pozwoleniu na użytkowanie budynku lub zawiadomieniem o zakończeniu budowy, do którego organ nadzoru budowlanego nie wniósł sprzeciwu;</w:t>
            </w:r>
          </w:p>
          <w:p w:rsidR="00000000" w:rsidDel="00000000" w:rsidP="00000000" w:rsidRDefault="00000000" w:rsidRPr="00000000" w14:paraId="000002F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 zaświadczeniem o samodzielności lokalu;</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 NIE DOTYCZY</w:t>
            </w:r>
            <w:r w:rsidDel="00000000" w:rsidR="00000000" w:rsidRPr="00000000">
              <w:rPr>
                <w:rtl w:val="0"/>
              </w:rPr>
            </w:r>
          </w:p>
          <w:p w:rsidR="00000000" w:rsidDel="00000000" w:rsidP="00000000" w:rsidRDefault="00000000" w:rsidRPr="00000000" w14:paraId="000002F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 aktem ustanowienia odrębnej własności lokalu;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NIE DOTYCZY</w:t>
            </w:r>
            <w:r w:rsidDel="00000000" w:rsidR="00000000" w:rsidRPr="00000000">
              <w:rPr>
                <w:rtl w:val="0"/>
              </w:rPr>
            </w:r>
          </w:p>
          <w:p w:rsidR="00000000" w:rsidDel="00000000" w:rsidP="00000000" w:rsidRDefault="00000000" w:rsidRPr="00000000" w14:paraId="000002F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 dokumentem potwierdzającym:</w:t>
            </w:r>
          </w:p>
          <w:p w:rsidR="00000000" w:rsidDel="00000000" w:rsidP="00000000" w:rsidRDefault="00000000" w:rsidRPr="00000000" w14:paraId="000002F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 zgodę banku, kasy lub innego wierzyciela hipotecznego na bezobciążeniowe ustanowienie odrębnej własności lokalu mieszkalnego i przeniesienie jego własności na nabywcę po wpłacie pełnej ceny przez nabywcę lub zobowiązanie do jej udzielenia, jeżeli takie obciążenie istnieje, albo zgodę banku, kasy lub innego wierzyciela hipotecznego na bezobciążeniowe przeniesienie na nabywcę własności nieruchomości wraz z domem jednorodzinnym lub użytkowania wieczystego nieruchomości gruntowej i własności domu jednorodzinnego stanowiącego odrębną nieruchomość, lub przeniesienie ułamkowej części własności nieruchomości wraz z prawem do wyłącznego korzystania z części nieruchomości służącej zaspokajaniu potrzeb mieszkaniowych po wpłacie pełnej ceny przez nabywcę lub zobowiązanie do jej udzielenia,</w:t>
            </w:r>
          </w:p>
          <w:p w:rsidR="00000000" w:rsidDel="00000000" w:rsidP="00000000" w:rsidRDefault="00000000" w:rsidRPr="00000000" w14:paraId="000002F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jeżeli takie obciążenie istnieje,-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NIE DOTYCZY</w:t>
            </w:r>
            <w:r w:rsidDel="00000000" w:rsidR="00000000" w:rsidRPr="00000000">
              <w:rPr>
                <w:rtl w:val="0"/>
              </w:rPr>
            </w:r>
          </w:p>
          <w:p w:rsidR="00000000" w:rsidDel="00000000" w:rsidP="00000000" w:rsidRDefault="00000000" w:rsidRPr="00000000" w14:paraId="000002F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 w przypadku umów, o których mowa w art. 2 ust. 2 ustawy z dnia 20 maja 2021 r. o ochronie praw nabywcy lokalu mieszkalnego lub domu jednorodzinnego oraz Deweloperskim Funduszu Gwarancyjnym, zgodę banku, kasy lub innego wierzyciela hipotecznego na bezobciążeniowe przeniesienie własności lokalu użytkowego na nabywcę po wpłacie pełnej ceny przez nabywcę lub zobowiązanie do udzielenia takiej zgody, jeżeli takie obciążenie istnieje, albo zgodę banku, kasy lub innego wierzyciela hipotecznego na bezobciążeniowe przeniesienie na nabywcę ułamkowej części własności lokalu użytkowego po wpłacie pełnej ceny przez nabywcę lub zobowiązanie do udzielenia takiej zgody, jeżeli takie obciążenie istnieje. –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NIE DOTYCZY</w:t>
            </w:r>
            <w:r w:rsidDel="00000000" w:rsidR="00000000" w:rsidRPr="00000000">
              <w:rPr>
                <w:rtl w:val="0"/>
              </w:rPr>
            </w:r>
          </w:p>
          <w:p w:rsidR="00000000" w:rsidDel="00000000" w:rsidP="00000000" w:rsidRDefault="00000000" w:rsidRPr="00000000" w14:paraId="000002F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III. Informacja:</w:t>
            </w:r>
          </w:p>
          <w:p w:rsidR="00000000" w:rsidDel="00000000" w:rsidP="00000000" w:rsidRDefault="00000000" w:rsidRPr="00000000" w14:paraId="000002F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Środki pieniężne zgromadzone w Banku Spółdzielczym Ziemi Szczecińskiej w Pyrzycach prowadzącym otwarty mieszkaniowy rachunek powierniczy albo zamknięty mieszkaniowy rachunek powierniczy, są objęte ochroną obowiązkowego systemu gwarantowania depozytów, na zasadach określonych w ustawie z dnia 10 czerwca 2016 r. o Bankowym Funduszu Gwarancyjnym, systemie gwarantowania depozytów oraz przymusowej restrukturyzacji  ( Dz.U. z 2022 r. poz. 2253 oraz z 2023 r. poz. 825,1705,1784 i 1843).</w:t>
            </w:r>
          </w:p>
          <w:p w:rsidR="00000000" w:rsidDel="00000000" w:rsidP="00000000" w:rsidRDefault="00000000" w:rsidRPr="00000000" w14:paraId="000003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Informacje podstawowe o obowiązkowym systemie gwarantowania depozytów:</w:t>
            </w:r>
          </w:p>
          <w:p w:rsidR="00000000" w:rsidDel="00000000" w:rsidP="00000000" w:rsidRDefault="00000000" w:rsidRPr="00000000" w14:paraId="0000030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ochrona środków dotyczy sytuacji spełnienia warunku gwarancji wobec Banku Spółdzielczym Ziemi Szczecińskiej,</w:t>
            </w:r>
          </w:p>
          <w:p w:rsidR="00000000" w:rsidDel="00000000" w:rsidP="00000000" w:rsidRDefault="00000000" w:rsidRPr="00000000" w14:paraId="0000030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 przypadku rachunku powierniczego deponentem (uprawnionym do środków gwarantowanych) jest każdy</w:t>
            </w:r>
          </w:p>
          <w:p w:rsidR="00000000" w:rsidDel="00000000" w:rsidP="00000000" w:rsidRDefault="00000000" w:rsidRPr="00000000" w14:paraId="0000030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 powierzających, w granicach wynikających z jego udziału w kwocie zgromadzonej na tym rachunku, a w granicach pozostałej kwoty na rachunku prawo do środków gwarantowanych ma powiernik,</w:t>
            </w:r>
          </w:p>
          <w:p w:rsidR="00000000" w:rsidDel="00000000" w:rsidP="00000000" w:rsidRDefault="00000000" w:rsidRPr="00000000" w14:paraId="0000030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limit gwarancyjny przypadający na jednego deponenta to równowartość w złotych 100 000 euro; w przypadkach określonych w art. 24 ust. 3 i 4 ustawy z dnia 10 czerwca 2016 r. o Bankowym Funduszu Gwarancyjnym, systemie gwarantowania depozytów oraz przymusowej restrukturyzacji, środki deponenta, w terminie 3 miesięcy od dnia ich wpływu na rachunek, objęte są gwarancjami ponad równowartość w złotych 100 000 euro,</w:t>
            </w:r>
          </w:p>
          <w:p w:rsidR="00000000" w:rsidDel="00000000" w:rsidP="00000000" w:rsidRDefault="00000000" w:rsidRPr="00000000" w14:paraId="0000030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podstawą wyliczenia kwoty środków gwarantowanych należnej deponentowi jest suma wszystkich podlegających ochronie należności tego deponenta od banku, w tym należności z tytułu środków zgromadzonych na jego rachunkach osobistych i z tytułu jego udziału w środkach zgromadzonych na rachunku powierniczym,</w:t>
            </w:r>
          </w:p>
          <w:p w:rsidR="00000000" w:rsidDel="00000000" w:rsidP="00000000" w:rsidRDefault="00000000" w:rsidRPr="00000000" w14:paraId="0000030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wypłata środków gwarantowanych – co do zasady – następuje w terminie 7 dni roboczych od dnia spełnienia</w:t>
            </w:r>
          </w:p>
          <w:p w:rsidR="00000000" w:rsidDel="00000000" w:rsidP="00000000" w:rsidRDefault="00000000" w:rsidRPr="00000000" w14:paraId="0000030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warunku gwarancji wobec banku,</w:t>
            </w:r>
          </w:p>
          <w:p w:rsidR="00000000" w:rsidDel="00000000" w:rsidP="00000000" w:rsidRDefault="00000000" w:rsidRPr="00000000" w14:paraId="0000030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wypłata środków gwarantowanych jest dokonywana w złotych, w Banku Spółdzielczym Ziemi Szczecińskiej w Pyrzycach[nazwa banku lub kasy prowadzących mieszkaniowy rachunek powierniczy] korzysta także z następujących znaków towarowych: nie korzysta</w:t>
            </w:r>
          </w:p>
          <w:p w:rsidR="00000000" w:rsidDel="00000000" w:rsidP="00000000" w:rsidRDefault="00000000" w:rsidRPr="00000000" w14:paraId="0000030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Dalsze informacje na temat systemu gwarantowania depozytów można uzyskać na stronie internetowej Bankowego Funduszu Gwarancyjnego: https://www.bfg.pl/.</w:t>
            </w:r>
          </w:p>
          <w:p w:rsidR="00000000" w:rsidDel="00000000" w:rsidP="00000000" w:rsidRDefault="00000000" w:rsidRPr="00000000" w14:paraId="0000030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IV. Informacja zamieszczana w przypadku zawarcia umowy mieszkaniowego rachunku powierniczego z oddziałem instytucji kredytowej w rozumieniu art. 4 ust. 1 pkt 18 ustawy z dnia 29 sierpnia 1997 r. – Prawo bankowe (Dz. U.</w:t>
            </w:r>
          </w:p>
          <w:p w:rsidR="00000000" w:rsidDel="00000000" w:rsidP="00000000" w:rsidRDefault="00000000" w:rsidRPr="00000000" w14:paraId="0000030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 2023 r. poz. 2488).Oddział instytucji kredytowej w rozumieniu art. 4 ust. 1 pkt 18 ustawy z dnia 29 sierpnia 1997 r. – Prawo bankowe jest objęty systemem gwarantowania państwa macierzystego, co oznacza, że nie mają do niego zastosowania przepisy ustawy z dnia 10 czerwca 2016 r. o Bankowym Funduszu Gwarancyjnym, systemie gwarantowania depozytów oraz przymusowej restrukturyzacji.</w:t>
            </w:r>
          </w:p>
          <w:p w:rsidR="00000000" w:rsidDel="00000000" w:rsidP="00000000" w:rsidRDefault="00000000" w:rsidRPr="00000000" w14:paraId="0000030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NIE DOTYCZY</w:t>
            </w:r>
            <w:r w:rsidDel="00000000" w:rsidR="00000000" w:rsidRPr="00000000">
              <w:rPr>
                <w:rtl w:val="0"/>
              </w:rPr>
            </w:r>
          </w:p>
          <w:p w:rsidR="00000000" w:rsidDel="00000000" w:rsidP="00000000" w:rsidRDefault="00000000" w:rsidRPr="00000000" w14:paraId="000003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312">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313">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CZĘŚĆ INDYWIDUALNA</w:t>
      </w:r>
      <w:r w:rsidDel="00000000" w:rsidR="00000000" w:rsidRPr="00000000">
        <w:rPr>
          <w:rtl w:val="0"/>
        </w:rPr>
      </w:r>
    </w:p>
    <w:p w:rsidR="00000000" w:rsidDel="00000000" w:rsidP="00000000" w:rsidRDefault="00000000" w:rsidRPr="00000000" w14:paraId="00000314">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5"/>
        <w:tblW w:w="906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75"/>
        <w:gridCol w:w="3074"/>
        <w:gridCol w:w="2913"/>
        <w:tblGridChange w:id="0">
          <w:tblGrid>
            <w:gridCol w:w="3075"/>
            <w:gridCol w:w="3074"/>
            <w:gridCol w:w="2913"/>
          </w:tblGrid>
        </w:tblGridChange>
      </w:tblGrid>
      <w:tr>
        <w:trPr>
          <w:cantSplit w:val="0"/>
          <w:tblHeader w:val="0"/>
        </w:trPr>
        <w:tc>
          <w:tcPr>
            <w:shd w:fill="e1e0ca" w:val="clear"/>
            <w:vAlign w:val="top"/>
          </w:tcPr>
          <w:p w:rsidR="00000000" w:rsidDel="00000000" w:rsidP="00000000" w:rsidRDefault="00000000" w:rsidRPr="00000000" w14:paraId="00000315">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Cena lokalu mieszkalnego albo domu jednorodzinnego</w:t>
            </w:r>
          </w:p>
        </w:tc>
        <w:tc>
          <w:tcPr>
            <w:gridSpan w:val="2"/>
            <w:vAlign w:val="top"/>
          </w:tcPr>
          <w:p w:rsidR="00000000" w:rsidDel="00000000" w:rsidP="00000000" w:rsidRDefault="00000000" w:rsidRPr="00000000" w14:paraId="0000031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shd w:fill="e1e0ca" w:val="clear"/>
            <w:vAlign w:val="top"/>
          </w:tcPr>
          <w:p w:rsidR="00000000" w:rsidDel="00000000" w:rsidP="00000000" w:rsidRDefault="00000000" w:rsidRPr="00000000" w14:paraId="000003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Powierzchnia użytkowa lokalu mieszkalnego albo domu jednorodzinnego</w:t>
            </w:r>
          </w:p>
        </w:tc>
        <w:tc>
          <w:tcPr>
            <w:gridSpan w:val="2"/>
            <w:vAlign w:val="top"/>
          </w:tcPr>
          <w:p w:rsidR="00000000" w:rsidDel="00000000" w:rsidP="00000000" w:rsidRDefault="00000000" w:rsidRPr="00000000" w14:paraId="00000319">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shd w:fill="e1e0ca" w:val="clear"/>
            <w:vAlign w:val="top"/>
          </w:tcPr>
          <w:p w:rsidR="00000000" w:rsidDel="00000000" w:rsidP="00000000" w:rsidRDefault="00000000" w:rsidRPr="00000000" w14:paraId="000003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Cena m2 powierzchni użytkowej lokalu mieszkalnego albo domu jednorodzinnego</w:t>
            </w:r>
          </w:p>
        </w:tc>
        <w:tc>
          <w:tcPr>
            <w:gridSpan w:val="2"/>
            <w:vAlign w:val="top"/>
          </w:tcPr>
          <w:p w:rsidR="00000000" w:rsidDel="00000000" w:rsidP="00000000" w:rsidRDefault="00000000" w:rsidRPr="00000000" w14:paraId="0000031C">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shd w:fill="e1e0ca" w:val="clear"/>
            <w:vAlign w:val="top"/>
          </w:tcPr>
          <w:p w:rsidR="00000000" w:rsidDel="00000000" w:rsidP="00000000" w:rsidRDefault="00000000" w:rsidRPr="00000000" w14:paraId="000003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Termin, do którego nastąpi przeniesienie prawa własności nieruchomości wynikającego z umowy deweloperskiej lub jednej z umów, o których mowa w art. 2 ust. 1 pkt 2, 3 lub 5 lub ust. 2 ustawy z dnia 20 maja 2021 r. o ochronie praw nabywcy lokalu mieszkalnego lub domu jednorodzinnego oraz Deweloperskim Funduszu Gwarancyjnym</w:t>
            </w:r>
          </w:p>
        </w:tc>
        <w:tc>
          <w:tcPr>
            <w:gridSpan w:val="2"/>
            <w:vAlign w:val="top"/>
          </w:tcPr>
          <w:p w:rsidR="00000000" w:rsidDel="00000000" w:rsidP="00000000" w:rsidRDefault="00000000" w:rsidRPr="00000000" w14:paraId="0000031F">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30.06.2027 roku</w:t>
            </w:r>
            <w:r w:rsidDel="00000000" w:rsidR="00000000" w:rsidRPr="00000000">
              <w:rPr>
                <w:rtl w:val="0"/>
              </w:rPr>
            </w:r>
          </w:p>
          <w:p w:rsidR="00000000" w:rsidDel="00000000" w:rsidP="00000000" w:rsidRDefault="00000000" w:rsidRPr="00000000" w14:paraId="00000320">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tcBorders>
              <w:bottom w:color="000000" w:space="0" w:sz="0" w:val="nil"/>
            </w:tcBorders>
            <w:shd w:fill="e1e0ca" w:val="clear"/>
            <w:vAlign w:val="top"/>
          </w:tcPr>
          <w:p w:rsidR="00000000" w:rsidDel="00000000" w:rsidP="00000000" w:rsidRDefault="00000000" w:rsidRPr="00000000" w14:paraId="00000322">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Określenie położenia oraz istotnych cech domu jednorodzinnego albo budynku, w którym ma znajdować się lokal mieszkalny będący przedmiotem umowy rezerwacyjnej albo umowy deweloperskiej lub jednej z umów, o których mowa w art. 2 ust. 1 pkt 2, 3 lub 5 lub ust. 2 ustawy z dnia 20 maja 2021 r. o ochronie praw nabywcy lokalu mieszkalnego lub domu jednorodzinnego oraz Deweloperskim Funduszu Gwarancyjnym</w:t>
            </w:r>
          </w:p>
        </w:tc>
        <w:tc>
          <w:tcPr>
            <w:vMerge w:val="restart"/>
            <w:vAlign w:val="top"/>
          </w:tcPr>
          <w:p w:rsidR="00000000" w:rsidDel="00000000" w:rsidP="00000000" w:rsidRDefault="00000000" w:rsidRPr="00000000" w14:paraId="00000323">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Liczba kondygnacji</w:t>
            </w:r>
          </w:p>
        </w:tc>
        <w:tc>
          <w:tcPr>
            <w:vMerge w:val="restart"/>
            <w:vAlign w:val="top"/>
          </w:tcPr>
          <w:p w:rsidR="00000000" w:rsidDel="00000000" w:rsidP="00000000" w:rsidRDefault="00000000" w:rsidRPr="00000000" w14:paraId="0000032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 (dwie) parter i poddasze </w:t>
            </w:r>
          </w:p>
        </w:tc>
      </w:tr>
      <w:tr>
        <w:trPr>
          <w:cantSplit w:val="1"/>
          <w:trHeight w:val="50" w:hRule="atLeast"/>
          <w:tblHeader w:val="0"/>
        </w:trPr>
        <w:tc>
          <w:tcPr>
            <w:tcBorders>
              <w:top w:color="000000" w:space="0" w:sz="0" w:val="nil"/>
              <w:bottom w:color="000000" w:space="0" w:sz="0" w:val="nil"/>
            </w:tcBorders>
            <w:shd w:fill="e1e0ca" w:val="clear"/>
            <w:vAlign w:val="top"/>
          </w:tcPr>
          <w:p w:rsidR="00000000" w:rsidDel="00000000" w:rsidP="00000000" w:rsidRDefault="00000000" w:rsidRPr="00000000" w14:paraId="00000325">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3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3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tcBorders>
              <w:top w:color="000000" w:space="0" w:sz="0" w:val="nil"/>
              <w:bottom w:color="000000" w:space="0" w:sz="0" w:val="nil"/>
            </w:tcBorders>
            <w:shd w:fill="e1e0ca" w:val="clear"/>
            <w:vAlign w:val="top"/>
          </w:tcPr>
          <w:p w:rsidR="00000000" w:rsidDel="00000000" w:rsidP="00000000" w:rsidRDefault="00000000" w:rsidRPr="00000000" w14:paraId="00000328">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29">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Technologia wykonania</w:t>
            </w:r>
          </w:p>
        </w:tc>
        <w:tc>
          <w:tcPr>
            <w:vAlign w:val="top"/>
          </w:tcPr>
          <w:p w:rsidR="00000000" w:rsidDel="00000000" w:rsidP="00000000" w:rsidRDefault="00000000" w:rsidRPr="00000000" w14:paraId="0000032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16"/>
                <w:szCs w:val="1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Ławy fundamentowe – żelbetowe,</w:t>
            </w:r>
          </w:p>
          <w:p w:rsidR="00000000" w:rsidDel="00000000" w:rsidP="00000000" w:rsidRDefault="00000000" w:rsidRPr="00000000" w14:paraId="0000032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16"/>
                <w:szCs w:val="1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Ściany fundamentowe i ściany kondygnacji podziemnych – bloczki żelbetowe,</w:t>
            </w:r>
          </w:p>
          <w:p w:rsidR="00000000" w:rsidDel="00000000" w:rsidP="00000000" w:rsidRDefault="00000000" w:rsidRPr="00000000" w14:paraId="0000032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16"/>
                <w:szCs w:val="1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Ściany zewnętrzne osłonowe – cegła wapienno-piaskowa,</w:t>
            </w:r>
          </w:p>
          <w:p w:rsidR="00000000" w:rsidDel="00000000" w:rsidP="00000000" w:rsidRDefault="00000000" w:rsidRPr="00000000" w14:paraId="0000032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16"/>
                <w:szCs w:val="1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Stropy – żelbetowe,</w:t>
            </w:r>
          </w:p>
          <w:p w:rsidR="00000000" w:rsidDel="00000000" w:rsidP="00000000" w:rsidRDefault="00000000" w:rsidRPr="00000000" w14:paraId="0000032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16"/>
                <w:szCs w:val="1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Schody – żelbetowe ,</w:t>
            </w:r>
          </w:p>
          <w:p w:rsidR="00000000" w:rsidDel="00000000" w:rsidP="00000000" w:rsidRDefault="00000000" w:rsidRPr="00000000" w14:paraId="0000032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16"/>
                <w:szCs w:val="1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Dach – dwuspadowy pokryty blachą;</w:t>
            </w:r>
          </w:p>
          <w:p w:rsidR="00000000" w:rsidDel="00000000" w:rsidP="00000000" w:rsidRDefault="00000000" w:rsidRPr="00000000" w14:paraId="0000033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16"/>
                <w:szCs w:val="1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Ocieplenie ścian zewnętrznych – styropian.</w:t>
            </w:r>
          </w:p>
          <w:p w:rsidR="00000000" w:rsidDel="00000000" w:rsidP="00000000" w:rsidRDefault="00000000" w:rsidRPr="00000000" w14:paraId="0000033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16"/>
                <w:szCs w:val="1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Okna PCV - trzyszybowe</w:t>
            </w:r>
          </w:p>
          <w:p w:rsidR="00000000" w:rsidDel="00000000" w:rsidP="00000000" w:rsidRDefault="00000000" w:rsidRPr="00000000" w14:paraId="0000033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tcBorders>
              <w:top w:color="000000" w:space="0" w:sz="0" w:val="nil"/>
              <w:bottom w:color="000000" w:space="0" w:sz="0" w:val="nil"/>
            </w:tcBorders>
            <w:shd w:fill="e1e0ca" w:val="clear"/>
            <w:vAlign w:val="top"/>
          </w:tcPr>
          <w:p w:rsidR="00000000" w:rsidDel="00000000" w:rsidP="00000000" w:rsidRDefault="00000000" w:rsidRPr="00000000" w14:paraId="00000333">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34">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Standard prac wykończeniowych w części wspólnej budynku i terenie wokół niego, stanowiącym część wspólną nieruchomości</w:t>
            </w:r>
          </w:p>
        </w:tc>
        <w:tc>
          <w:tcPr>
            <w:vAlign w:val="center"/>
          </w:tcPr>
          <w:p w:rsidR="00000000" w:rsidDel="00000000" w:rsidP="00000000" w:rsidRDefault="00000000" w:rsidRPr="00000000" w14:paraId="0000033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60" w:line="240" w:lineRule="auto"/>
              <w:ind w:left="0" w:right="0"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Elewacja i elementy zewnętrzne:</w:t>
            </w:r>
          </w:p>
          <w:p w:rsidR="00000000" w:rsidDel="00000000" w:rsidP="00000000" w:rsidRDefault="00000000" w:rsidRPr="00000000" w14:paraId="0000033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16"/>
                <w:szCs w:val="1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Elewacja – tynk mineralny malowany, elementy ozdobne z kompozytu imitujące drewno;</w:t>
            </w:r>
          </w:p>
          <w:p w:rsidR="00000000" w:rsidDel="00000000" w:rsidP="00000000" w:rsidRDefault="00000000" w:rsidRPr="00000000" w14:paraId="0000033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16"/>
                <w:szCs w:val="1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rynny i rury spustowe – stalowe</w:t>
            </w:r>
          </w:p>
          <w:p w:rsidR="00000000" w:rsidDel="00000000" w:rsidP="00000000" w:rsidRDefault="00000000" w:rsidRPr="00000000" w14:paraId="0000033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16"/>
                <w:szCs w:val="1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parapety zewnętrzne – aluminiowe</w:t>
            </w:r>
          </w:p>
        </w:tc>
      </w:tr>
      <w:tr>
        <w:trPr>
          <w:cantSplit w:val="0"/>
          <w:tblHeader w:val="0"/>
        </w:trPr>
        <w:tc>
          <w:tcPr>
            <w:tcBorders>
              <w:top w:color="000000" w:space="0" w:sz="0" w:val="nil"/>
              <w:bottom w:color="000000" w:space="0" w:sz="0" w:val="nil"/>
            </w:tcBorders>
            <w:shd w:fill="e1e0ca" w:val="clear"/>
            <w:vAlign w:val="top"/>
          </w:tcPr>
          <w:p w:rsidR="00000000" w:rsidDel="00000000" w:rsidP="00000000" w:rsidRDefault="00000000" w:rsidRPr="00000000" w14:paraId="00000339">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3A">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Liczba lokali w budynku</w:t>
            </w:r>
          </w:p>
        </w:tc>
        <w:tc>
          <w:tcPr>
            <w:vAlign w:val="top"/>
          </w:tcPr>
          <w:p w:rsidR="00000000" w:rsidDel="00000000" w:rsidP="00000000" w:rsidRDefault="00000000" w:rsidRPr="00000000" w14:paraId="0000033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 lokale</w:t>
            </w:r>
          </w:p>
          <w:p w:rsidR="00000000" w:rsidDel="00000000" w:rsidP="00000000" w:rsidRDefault="00000000" w:rsidRPr="00000000" w14:paraId="0000033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tcBorders>
              <w:top w:color="000000" w:space="0" w:sz="0" w:val="nil"/>
              <w:bottom w:color="000000" w:space="0" w:sz="0" w:val="nil"/>
            </w:tcBorders>
            <w:shd w:fill="e1e0ca" w:val="clear"/>
            <w:vAlign w:val="top"/>
          </w:tcPr>
          <w:p w:rsidR="00000000" w:rsidDel="00000000" w:rsidP="00000000" w:rsidRDefault="00000000" w:rsidRPr="00000000" w14:paraId="0000033D">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bookmarkStart w:colFirst="0" w:colLast="0" w:name="_heading=h.l6n6a96qy1d" w:id="0"/>
            <w:bookmarkEnd w:id="0"/>
            <w:r w:rsidDel="00000000" w:rsidR="00000000" w:rsidRPr="00000000">
              <w:rPr>
                <w:rtl w:val="0"/>
              </w:rPr>
            </w:r>
          </w:p>
        </w:tc>
        <w:tc>
          <w:tcPr>
            <w:vAlign w:val="top"/>
          </w:tcPr>
          <w:p w:rsidR="00000000" w:rsidDel="00000000" w:rsidP="00000000" w:rsidRDefault="00000000" w:rsidRPr="00000000" w14:paraId="0000033E">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Liczba miejsc garażowych i postojowych</w:t>
            </w:r>
          </w:p>
        </w:tc>
        <w:tc>
          <w:tcPr>
            <w:vAlign w:val="top"/>
          </w:tcPr>
          <w:p w:rsidR="00000000" w:rsidDel="00000000" w:rsidP="00000000" w:rsidRDefault="00000000" w:rsidRPr="00000000" w14:paraId="0000033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 miejsca postojowe</w:t>
            </w:r>
          </w:p>
          <w:p w:rsidR="00000000" w:rsidDel="00000000" w:rsidP="00000000" w:rsidRDefault="00000000" w:rsidRPr="00000000" w14:paraId="00000340">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tcBorders>
              <w:top w:color="000000" w:space="0" w:sz="0" w:val="nil"/>
              <w:bottom w:color="000000" w:space="0" w:sz="0" w:val="nil"/>
            </w:tcBorders>
            <w:shd w:fill="e1e0ca" w:val="clear"/>
            <w:vAlign w:val="top"/>
          </w:tcPr>
          <w:p w:rsidR="00000000" w:rsidDel="00000000" w:rsidP="00000000" w:rsidRDefault="00000000" w:rsidRPr="00000000" w14:paraId="00000341">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42">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Dostępne media w budynku</w:t>
            </w:r>
          </w:p>
        </w:tc>
        <w:tc>
          <w:tcPr>
            <w:vAlign w:val="top"/>
          </w:tcPr>
          <w:p w:rsidR="00000000" w:rsidDel="00000000" w:rsidP="00000000" w:rsidRDefault="00000000" w:rsidRPr="00000000" w14:paraId="0000034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0" w:before="30" w:line="240" w:lineRule="auto"/>
              <w:ind w:left="720" w:right="0" w:hanging="360"/>
              <w:jc w:val="left"/>
              <w:rPr>
                <w:b w:val="0"/>
                <w:bCs w:val="0"/>
                <w:i w:val="0"/>
                <w:iCs w:val="0"/>
                <w:smallCaps w:val="0"/>
                <w:strike w:val="0"/>
                <w:color w:val="000000"/>
                <w:sz w:val="16"/>
                <w:szCs w:val="1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Instalacja c.o. i ciepła woda użytkowa zasilane z pompy ciepła</w:t>
            </w:r>
          </w:p>
          <w:p w:rsidR="00000000" w:rsidDel="00000000" w:rsidP="00000000" w:rsidRDefault="00000000" w:rsidRPr="00000000" w14:paraId="0000034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16"/>
                <w:szCs w:val="1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Instalacja kanalizacyjna i wodna</w:t>
            </w:r>
          </w:p>
          <w:p w:rsidR="00000000" w:rsidDel="00000000" w:rsidP="00000000" w:rsidRDefault="00000000" w:rsidRPr="00000000" w14:paraId="0000034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16"/>
                <w:szCs w:val="1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Instalacja elektryczna – napięcie sieci 230V ,</w:t>
            </w:r>
          </w:p>
          <w:p w:rsidR="00000000" w:rsidDel="00000000" w:rsidP="00000000" w:rsidRDefault="00000000" w:rsidRPr="00000000" w14:paraId="0000034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16"/>
                <w:szCs w:val="1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Instalacja alarmowa,</w:t>
            </w:r>
          </w:p>
          <w:p w:rsidR="00000000" w:rsidDel="00000000" w:rsidP="00000000" w:rsidRDefault="00000000" w:rsidRPr="00000000" w14:paraId="0000034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0"/>
                <w:szCs w:val="2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Instalacja sieci internetowej,</w:t>
            </w:r>
            <w:r w:rsidDel="00000000" w:rsidR="00000000" w:rsidRPr="00000000">
              <w:rPr>
                <w:rtl w:val="0"/>
              </w:rPr>
            </w:r>
          </w:p>
          <w:p w:rsidR="00000000" w:rsidDel="00000000" w:rsidP="00000000" w:rsidRDefault="00000000" w:rsidRPr="00000000" w14:paraId="0000034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tcBorders>
              <w:top w:color="000000" w:space="0" w:sz="0" w:val="nil"/>
            </w:tcBorders>
            <w:shd w:fill="e1e0ca" w:val="clear"/>
            <w:vAlign w:val="top"/>
          </w:tcPr>
          <w:p w:rsidR="00000000" w:rsidDel="00000000" w:rsidP="00000000" w:rsidRDefault="00000000" w:rsidRPr="00000000" w14:paraId="00000349">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4A">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Dostęp do drogi publicznej</w:t>
            </w:r>
          </w:p>
        </w:tc>
        <w:tc>
          <w:tcPr>
            <w:vAlign w:val="top"/>
          </w:tcPr>
          <w:p w:rsidR="00000000" w:rsidDel="00000000" w:rsidP="00000000" w:rsidRDefault="00000000" w:rsidRPr="00000000" w14:paraId="0000034B">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Dojazd bezpośrednio do ul. Łukasińskiego do działki nr 312 poprzez działkę 14/26 i 14/27 (droga wewnętrzna nabywana w udziałach)</w:t>
            </w:r>
          </w:p>
        </w:tc>
      </w:tr>
      <w:tr>
        <w:trPr>
          <w:cantSplit w:val="0"/>
          <w:tblHeader w:val="0"/>
        </w:trPr>
        <w:tc>
          <w:tcPr>
            <w:shd w:fill="e1e0ca" w:val="clear"/>
            <w:vAlign w:val="top"/>
          </w:tcPr>
          <w:p w:rsidR="00000000" w:rsidDel="00000000" w:rsidP="00000000" w:rsidRDefault="00000000" w:rsidRPr="00000000" w14:paraId="0000034C">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Określenie usytuowania lokalu mieszkalnego w budynku, jeżeli przedsięwzięcie deweloperskie</w:t>
            </w:r>
          </w:p>
          <w:p w:rsidR="00000000" w:rsidDel="00000000" w:rsidP="00000000" w:rsidRDefault="00000000" w:rsidRPr="00000000" w14:paraId="0000034D">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lub zadanie inwestycyjne dotyczy lokali mieszkalnych.</w:t>
            </w:r>
          </w:p>
        </w:tc>
        <w:tc>
          <w:tcPr>
            <w:gridSpan w:val="2"/>
            <w:vAlign w:val="top"/>
          </w:tcPr>
          <w:p w:rsidR="00000000" w:rsidDel="00000000" w:rsidP="00000000" w:rsidRDefault="00000000" w:rsidRPr="00000000" w14:paraId="0000034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Lokal mieszkalny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nr 2B</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położony w budynku przy ul. Łukasińskiego położony na parterze i poddaszu; okna zorientowane są na południowy wschód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tc>
      </w:tr>
      <w:tr>
        <w:trPr>
          <w:cantSplit w:val="0"/>
          <w:tblHeader w:val="0"/>
        </w:trPr>
        <w:tc>
          <w:tcPr>
            <w:shd w:fill="e1e0ca" w:val="clear"/>
            <w:vAlign w:val="top"/>
          </w:tcPr>
          <w:p w:rsidR="00000000" w:rsidDel="00000000" w:rsidP="00000000" w:rsidRDefault="00000000" w:rsidRPr="00000000" w14:paraId="00000350">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Określenie powierzchni użytkowej i układu pomieszczeń oraz zakresu i standardu prac wykończeniowych, do których wykonania zobowiązuje się deweloper</w:t>
            </w:r>
          </w:p>
        </w:tc>
        <w:tc>
          <w:tcPr>
            <w:gridSpan w:val="2"/>
            <w:vAlign w:val="top"/>
          </w:tcPr>
          <w:p w:rsidR="00000000" w:rsidDel="00000000" w:rsidP="00000000" w:rsidRDefault="00000000" w:rsidRPr="00000000" w14:paraId="00000351">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Zgodnie z rzutem lokalu stanowiącym załącznik nr 1 do niniejszego prospektu. </w:t>
            </w:r>
          </w:p>
          <w:p w:rsidR="00000000" w:rsidDel="00000000" w:rsidP="00000000" w:rsidRDefault="00000000" w:rsidRPr="00000000" w14:paraId="00000352">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Standard prac wykończeniowych:</w:t>
            </w:r>
          </w:p>
          <w:p w:rsidR="00000000" w:rsidDel="00000000" w:rsidP="00000000" w:rsidRDefault="00000000" w:rsidRPr="00000000" w14:paraId="0000035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60" w:line="240" w:lineRule="auto"/>
              <w:ind w:left="753" w:right="0" w:hanging="393"/>
              <w:jc w:val="both"/>
              <w:rPr>
                <w:rFonts w:ascii="Times New Roman" w:cs="Times New Roman" w:eastAsia="Times New Roman" w:hAnsi="Times New Roman"/>
                <w:b w:val="0"/>
                <w:bCs w:val="0"/>
                <w:i w:val="0"/>
                <w:iCs w:val="0"/>
                <w:smallCaps w:val="0"/>
                <w:strike w:val="0"/>
                <w:color w:val="000000"/>
                <w:sz w:val="16"/>
                <w:szCs w:val="1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Pokrycie dachu - folia paroprzepuszczalna, blacha na rąbek w kolorze szarym lub grafitowym</w:t>
            </w:r>
          </w:p>
          <w:p w:rsidR="00000000" w:rsidDel="00000000" w:rsidP="00000000" w:rsidRDefault="00000000" w:rsidRPr="00000000" w14:paraId="0000035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60" w:line="240" w:lineRule="auto"/>
              <w:ind w:left="1065" w:right="0" w:hanging="705"/>
              <w:jc w:val="both"/>
              <w:rPr>
                <w:rFonts w:ascii="Times New Roman" w:cs="Times New Roman" w:eastAsia="Times New Roman" w:hAnsi="Times New Roman"/>
                <w:b w:val="0"/>
                <w:bCs w:val="0"/>
                <w:i w:val="0"/>
                <w:iCs w:val="0"/>
                <w:smallCaps w:val="0"/>
                <w:strike w:val="0"/>
                <w:color w:val="000000"/>
                <w:sz w:val="16"/>
                <w:szCs w:val="1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Rynny i rury spustowe z stalowe</w:t>
            </w:r>
          </w:p>
          <w:p w:rsidR="00000000" w:rsidDel="00000000" w:rsidP="00000000" w:rsidRDefault="00000000" w:rsidRPr="00000000" w14:paraId="0000035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60" w:line="240" w:lineRule="auto"/>
              <w:ind w:left="1065" w:right="0" w:hanging="705"/>
              <w:jc w:val="both"/>
              <w:rPr>
                <w:rFonts w:ascii="Times New Roman" w:cs="Times New Roman" w:eastAsia="Times New Roman" w:hAnsi="Times New Roman"/>
                <w:b w:val="0"/>
                <w:bCs w:val="0"/>
                <w:i w:val="0"/>
                <w:iCs w:val="0"/>
                <w:smallCaps w:val="0"/>
                <w:strike w:val="0"/>
                <w:color w:val="000000"/>
                <w:sz w:val="16"/>
                <w:szCs w:val="1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Drzwi wejściowe antywłamaniowe np. ERKADO</w:t>
            </w:r>
          </w:p>
          <w:p w:rsidR="00000000" w:rsidDel="00000000" w:rsidP="00000000" w:rsidRDefault="00000000" w:rsidRPr="00000000" w14:paraId="0000035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60" w:line="240" w:lineRule="auto"/>
              <w:ind w:left="1065" w:right="0" w:hanging="705"/>
              <w:jc w:val="both"/>
              <w:rPr>
                <w:rFonts w:ascii="Times New Roman" w:cs="Times New Roman" w:eastAsia="Times New Roman" w:hAnsi="Times New Roman"/>
                <w:b w:val="0"/>
                <w:bCs w:val="0"/>
                <w:i w:val="0"/>
                <w:iCs w:val="0"/>
                <w:smallCaps w:val="0"/>
                <w:strike w:val="0"/>
                <w:color w:val="000000"/>
                <w:sz w:val="16"/>
                <w:szCs w:val="1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Okna PCV - pakiet trzyszybowy, </w:t>
            </w:r>
          </w:p>
          <w:p w:rsidR="00000000" w:rsidDel="00000000" w:rsidP="00000000" w:rsidRDefault="00000000" w:rsidRPr="00000000" w14:paraId="0000035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60" w:line="240" w:lineRule="auto"/>
              <w:ind w:left="753" w:right="0" w:hanging="393"/>
              <w:jc w:val="both"/>
              <w:rPr>
                <w:rFonts w:ascii="Times New Roman" w:cs="Times New Roman" w:eastAsia="Times New Roman" w:hAnsi="Times New Roman"/>
                <w:b w:val="0"/>
                <w:bCs w:val="0"/>
                <w:i w:val="0"/>
                <w:iCs w:val="0"/>
                <w:smallCaps w:val="0"/>
                <w:strike w:val="0"/>
                <w:color w:val="000000"/>
                <w:sz w:val="16"/>
                <w:szCs w:val="1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Kasety nadstawne nad oknami parteru wraz z prowadnicami przygotowane do montażu rolet zewnętrznych (bez montażu pancerzy)</w:t>
            </w:r>
          </w:p>
          <w:p w:rsidR="00000000" w:rsidDel="00000000" w:rsidP="00000000" w:rsidRDefault="00000000" w:rsidRPr="00000000" w14:paraId="0000035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60" w:line="240" w:lineRule="auto"/>
              <w:ind w:left="753" w:right="0" w:hanging="393"/>
              <w:jc w:val="both"/>
              <w:rPr>
                <w:rFonts w:ascii="Times New Roman" w:cs="Times New Roman" w:eastAsia="Times New Roman" w:hAnsi="Times New Roman"/>
                <w:b w:val="0"/>
                <w:bCs w:val="0"/>
                <w:i w:val="0"/>
                <w:iCs w:val="0"/>
                <w:smallCaps w:val="0"/>
                <w:strike w:val="0"/>
                <w:color w:val="000000"/>
                <w:sz w:val="16"/>
                <w:szCs w:val="1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Ocieplenie budynku metodą „lekką mokrą” gr.20 cm, cokół budynku tynk mozaikowy lub farba hydrofobowa </w:t>
            </w:r>
          </w:p>
          <w:p w:rsidR="00000000" w:rsidDel="00000000" w:rsidP="00000000" w:rsidRDefault="00000000" w:rsidRPr="00000000" w14:paraId="0000035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60" w:line="240" w:lineRule="auto"/>
              <w:ind w:left="753" w:right="0" w:hanging="393"/>
              <w:jc w:val="both"/>
              <w:rPr>
                <w:rFonts w:ascii="Times New Roman" w:cs="Times New Roman" w:eastAsia="Times New Roman" w:hAnsi="Times New Roman"/>
                <w:b w:val="0"/>
                <w:bCs w:val="0"/>
                <w:i w:val="0"/>
                <w:iCs w:val="0"/>
                <w:smallCaps w:val="0"/>
                <w:strike w:val="0"/>
                <w:color w:val="000000"/>
                <w:sz w:val="16"/>
                <w:szCs w:val="1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Parapety zewnętrzne z aluminium w kolorze szarym</w:t>
            </w:r>
          </w:p>
          <w:p w:rsidR="00000000" w:rsidDel="00000000" w:rsidP="00000000" w:rsidRDefault="00000000" w:rsidRPr="00000000" w14:paraId="0000035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60" w:line="240" w:lineRule="auto"/>
              <w:ind w:left="753" w:right="0" w:hanging="393"/>
              <w:jc w:val="both"/>
              <w:rPr>
                <w:rFonts w:ascii="Times New Roman" w:cs="Times New Roman" w:eastAsia="Times New Roman" w:hAnsi="Times New Roman"/>
                <w:b w:val="0"/>
                <w:bCs w:val="0"/>
                <w:i w:val="0"/>
                <w:iCs w:val="0"/>
                <w:smallCaps w:val="0"/>
                <w:strike w:val="0"/>
                <w:color w:val="000000"/>
                <w:sz w:val="16"/>
                <w:szCs w:val="1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Instalacje sanitarne podtynkowe wewnątrz budynku (bez montażu armatury)</w:t>
            </w:r>
          </w:p>
          <w:p w:rsidR="00000000" w:rsidDel="00000000" w:rsidP="00000000" w:rsidRDefault="00000000" w:rsidRPr="00000000" w14:paraId="0000035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60" w:line="240" w:lineRule="auto"/>
              <w:ind w:left="753" w:right="0" w:hanging="393"/>
              <w:jc w:val="both"/>
              <w:rPr>
                <w:rFonts w:ascii="Times New Roman" w:cs="Times New Roman" w:eastAsia="Times New Roman" w:hAnsi="Times New Roman"/>
                <w:b w:val="0"/>
                <w:bCs w:val="0"/>
                <w:i w:val="0"/>
                <w:iCs w:val="0"/>
                <w:smallCaps w:val="0"/>
                <w:strike w:val="0"/>
                <w:color w:val="000000"/>
                <w:sz w:val="16"/>
                <w:szCs w:val="1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Instalacja centralnego ogrzewania – powietrzna pompa ciepła, ogrzewanie podłogowe w całym budynku</w:t>
            </w:r>
          </w:p>
          <w:p w:rsidR="00000000" w:rsidDel="00000000" w:rsidP="00000000" w:rsidRDefault="00000000" w:rsidRPr="00000000" w14:paraId="0000035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60" w:line="240" w:lineRule="auto"/>
              <w:ind w:left="753" w:right="0" w:hanging="393"/>
              <w:jc w:val="both"/>
              <w:rPr>
                <w:rFonts w:ascii="Times New Roman" w:cs="Times New Roman" w:eastAsia="Times New Roman" w:hAnsi="Times New Roman"/>
                <w:b w:val="0"/>
                <w:bCs w:val="0"/>
                <w:i w:val="0"/>
                <w:iCs w:val="0"/>
                <w:smallCaps w:val="0"/>
                <w:strike w:val="0"/>
                <w:color w:val="000000"/>
                <w:sz w:val="16"/>
                <w:szCs w:val="1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Instalacja elektryczna z osprzętem natynkowym, kolor biały. Wyprowadzone zasilania do fotowoltaiki na strych budynku</w:t>
            </w:r>
          </w:p>
          <w:p w:rsidR="00000000" w:rsidDel="00000000" w:rsidP="00000000" w:rsidRDefault="00000000" w:rsidRPr="00000000" w14:paraId="0000035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60" w:line="240" w:lineRule="auto"/>
              <w:ind w:left="753" w:right="0" w:hanging="393"/>
              <w:jc w:val="both"/>
              <w:rPr>
                <w:rFonts w:ascii="Times New Roman" w:cs="Times New Roman" w:eastAsia="Times New Roman" w:hAnsi="Times New Roman"/>
                <w:b w:val="0"/>
                <w:bCs w:val="0"/>
                <w:i w:val="0"/>
                <w:iCs w:val="0"/>
                <w:smallCaps w:val="0"/>
                <w:strike w:val="0"/>
                <w:color w:val="000000"/>
                <w:sz w:val="16"/>
                <w:szCs w:val="1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Instalacja antenowa salon i internetowa w salonie i pokojach poddasza</w:t>
            </w:r>
          </w:p>
          <w:p w:rsidR="00000000" w:rsidDel="00000000" w:rsidP="00000000" w:rsidRDefault="00000000" w:rsidRPr="00000000" w14:paraId="0000035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60" w:line="240" w:lineRule="auto"/>
              <w:ind w:left="753" w:right="0" w:hanging="393"/>
              <w:jc w:val="both"/>
              <w:rPr>
                <w:rFonts w:ascii="Times New Roman" w:cs="Times New Roman" w:eastAsia="Times New Roman" w:hAnsi="Times New Roman"/>
                <w:b w:val="0"/>
                <w:bCs w:val="0"/>
                <w:i w:val="0"/>
                <w:iCs w:val="0"/>
                <w:smallCaps w:val="0"/>
                <w:strike w:val="0"/>
                <w:color w:val="000000"/>
                <w:sz w:val="16"/>
                <w:szCs w:val="1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Okablowanie instalacji alarmowej i rolet zewnętrznych na parterze (bez montażu osprzętu)</w:t>
            </w:r>
          </w:p>
          <w:p w:rsidR="00000000" w:rsidDel="00000000" w:rsidP="00000000" w:rsidRDefault="00000000" w:rsidRPr="00000000" w14:paraId="0000035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60" w:line="240" w:lineRule="auto"/>
              <w:ind w:left="753" w:right="0" w:hanging="393"/>
              <w:jc w:val="both"/>
              <w:rPr>
                <w:rFonts w:ascii="Times New Roman" w:cs="Times New Roman" w:eastAsia="Times New Roman" w:hAnsi="Times New Roman"/>
                <w:b w:val="0"/>
                <w:bCs w:val="0"/>
                <w:i w:val="0"/>
                <w:iCs w:val="0"/>
                <w:smallCaps w:val="0"/>
                <w:strike w:val="0"/>
                <w:color w:val="000000"/>
                <w:sz w:val="16"/>
                <w:szCs w:val="1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Tynki gipsowe maszynowe na ścianach i suficie parteru</w:t>
            </w:r>
          </w:p>
          <w:p w:rsidR="00000000" w:rsidDel="00000000" w:rsidP="00000000" w:rsidRDefault="00000000" w:rsidRPr="00000000" w14:paraId="0000036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60" w:line="240" w:lineRule="auto"/>
              <w:ind w:left="753" w:right="0" w:hanging="393"/>
              <w:jc w:val="both"/>
              <w:rPr>
                <w:rFonts w:ascii="Times New Roman" w:cs="Times New Roman" w:eastAsia="Times New Roman" w:hAnsi="Times New Roman"/>
                <w:b w:val="0"/>
                <w:bCs w:val="0"/>
                <w:i w:val="0"/>
                <w:iCs w:val="0"/>
                <w:smallCaps w:val="0"/>
                <w:strike w:val="0"/>
                <w:color w:val="000000"/>
                <w:sz w:val="16"/>
                <w:szCs w:val="1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Zabudowa skosów i sufitów z płyt G-KF na ruszcie stalowym wraz z ociepleniem (wstępne przygotowanie w standardzie Q1)</w:t>
            </w:r>
          </w:p>
          <w:p w:rsidR="00000000" w:rsidDel="00000000" w:rsidP="00000000" w:rsidRDefault="00000000" w:rsidRPr="00000000" w14:paraId="0000036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60" w:line="240" w:lineRule="auto"/>
              <w:ind w:left="753" w:right="0" w:hanging="393"/>
              <w:jc w:val="both"/>
              <w:rPr>
                <w:rFonts w:ascii="Times New Roman" w:cs="Times New Roman" w:eastAsia="Times New Roman" w:hAnsi="Times New Roman"/>
                <w:b w:val="0"/>
                <w:bCs w:val="0"/>
                <w:i w:val="0"/>
                <w:iCs w:val="0"/>
                <w:smallCaps w:val="0"/>
                <w:strike w:val="0"/>
                <w:color w:val="000000"/>
                <w:sz w:val="16"/>
                <w:szCs w:val="1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Wstępne zagospodarowanie terenu - ukształtowanie działki ziemią z wykopu</w:t>
            </w:r>
          </w:p>
          <w:p w:rsidR="00000000" w:rsidDel="00000000" w:rsidP="00000000" w:rsidRDefault="00000000" w:rsidRPr="00000000" w14:paraId="0000036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60" w:line="240" w:lineRule="auto"/>
              <w:ind w:left="753" w:right="0" w:hanging="393"/>
              <w:jc w:val="both"/>
              <w:rPr>
                <w:rFonts w:ascii="Times New Roman" w:cs="Times New Roman" w:eastAsia="Times New Roman" w:hAnsi="Times New Roman"/>
                <w:b w:val="0"/>
                <w:bCs w:val="0"/>
                <w:i w:val="0"/>
                <w:iCs w:val="0"/>
                <w:smallCaps w:val="0"/>
                <w:strike w:val="0"/>
                <w:color w:val="000000"/>
                <w:sz w:val="16"/>
                <w:szCs w:val="1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Miejsca parkingowe oraz ścieżka do drzwi wejściowych z kostki betonowej. Wykonanie tarasu po stronie kupującego.</w:t>
            </w:r>
          </w:p>
          <w:p w:rsidR="00000000" w:rsidDel="00000000" w:rsidP="00000000" w:rsidRDefault="00000000" w:rsidRPr="00000000" w14:paraId="0000036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60" w:line="240" w:lineRule="auto"/>
              <w:ind w:left="753" w:right="0" w:hanging="393"/>
              <w:jc w:val="both"/>
              <w:rPr>
                <w:rFonts w:ascii="Times New Roman" w:cs="Times New Roman" w:eastAsia="Times New Roman" w:hAnsi="Times New Roman"/>
                <w:b w:val="0"/>
                <w:bCs w:val="0"/>
                <w:i w:val="0"/>
                <w:iCs w:val="0"/>
                <w:smallCaps w:val="0"/>
                <w:strike w:val="0"/>
                <w:color w:val="000000"/>
                <w:sz w:val="16"/>
                <w:szCs w:val="1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Ogrodzenie panelowe z siatki 3D z podmurówką, furtka wejściowa - kolor grafit. </w:t>
            </w:r>
          </w:p>
          <w:p w:rsidR="00000000" w:rsidDel="00000000" w:rsidP="00000000" w:rsidRDefault="00000000" w:rsidRPr="00000000" w14:paraId="0000036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60" w:line="240" w:lineRule="auto"/>
              <w:ind w:left="753" w:right="0" w:hanging="393"/>
              <w:jc w:val="both"/>
              <w:rPr>
                <w:rFonts w:ascii="Times New Roman" w:cs="Times New Roman" w:eastAsia="Times New Roman" w:hAnsi="Times New Roman"/>
                <w:b w:val="0"/>
                <w:bCs w:val="0"/>
                <w:i w:val="0"/>
                <w:iCs w:val="0"/>
                <w:smallCaps w:val="0"/>
                <w:strike w:val="0"/>
                <w:color w:val="000000"/>
                <w:sz w:val="16"/>
                <w:szCs w:val="1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Droga wewnętrzna kostka polbruk 8 cm oraz płyty drogowe.   </w:t>
            </w:r>
          </w:p>
          <w:p w:rsidR="00000000" w:rsidDel="00000000" w:rsidP="00000000" w:rsidRDefault="00000000" w:rsidRPr="00000000" w14:paraId="00000365">
            <w:pPr>
              <w:keepNext w:val="0"/>
              <w:keepLines w:val="0"/>
              <w:pageBreakBefore w:val="0"/>
              <w:widowControl w:val="1"/>
              <w:pBdr>
                <w:top w:space="0" w:sz="0" w:val="nil"/>
                <w:left w:space="0" w:sz="0" w:val="nil"/>
                <w:bottom w:space="0" w:sz="0" w:val="nil"/>
                <w:right w:space="0" w:sz="0" w:val="nil"/>
                <w:between w:space="0" w:sz="0" w:val="nil"/>
              </w:pBdr>
              <w:shd w:fill="ffffff" w:val="clear"/>
              <w:spacing w:after="60" w:before="60" w:line="240" w:lineRule="auto"/>
              <w:ind w:left="301" w:right="0" w:hanging="301"/>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shd w:fill="e1e0ca" w:val="clear"/>
            <w:vAlign w:val="top"/>
          </w:tcPr>
          <w:p w:rsidR="00000000" w:rsidDel="00000000" w:rsidP="00000000" w:rsidRDefault="00000000" w:rsidRPr="00000000" w14:paraId="00000367">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Data wydania zaświadczenia o samodzielności lokalu mieszkalnego</w:t>
            </w:r>
          </w:p>
        </w:tc>
        <w:tc>
          <w:tcPr>
            <w:gridSpan w:val="2"/>
            <w:vAlign w:val="top"/>
          </w:tcPr>
          <w:p w:rsidR="00000000" w:rsidDel="00000000" w:rsidP="00000000" w:rsidRDefault="00000000" w:rsidRPr="00000000" w14:paraId="00000368">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do 30 maja  2027 roku</w:t>
            </w:r>
            <w:r w:rsidDel="00000000" w:rsidR="00000000" w:rsidRPr="00000000">
              <w:rPr>
                <w:rtl w:val="0"/>
              </w:rPr>
            </w:r>
          </w:p>
          <w:p w:rsidR="00000000" w:rsidDel="00000000" w:rsidP="00000000" w:rsidRDefault="00000000" w:rsidRPr="00000000" w14:paraId="00000369">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highlight w:val="yellow"/>
                <w:u w:val="none"/>
                <w:vertAlign w:val="baseline"/>
              </w:rPr>
            </w:pPr>
            <w:r w:rsidDel="00000000" w:rsidR="00000000" w:rsidRPr="00000000">
              <w:rPr>
                <w:rtl w:val="0"/>
              </w:rPr>
            </w:r>
          </w:p>
        </w:tc>
      </w:tr>
      <w:tr>
        <w:trPr>
          <w:cantSplit w:val="0"/>
          <w:tblHeader w:val="0"/>
        </w:trPr>
        <w:tc>
          <w:tcPr>
            <w:shd w:fill="e1e0ca" w:val="clear"/>
            <w:vAlign w:val="top"/>
          </w:tcPr>
          <w:p w:rsidR="00000000" w:rsidDel="00000000" w:rsidP="00000000" w:rsidRDefault="00000000" w:rsidRPr="00000000" w14:paraId="000003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Data ustanowienia odrębnej własności lokalu mieszkalnego</w:t>
            </w:r>
          </w:p>
        </w:tc>
        <w:tc>
          <w:tcPr>
            <w:gridSpan w:val="2"/>
            <w:vAlign w:val="top"/>
          </w:tcPr>
          <w:p w:rsidR="00000000" w:rsidDel="00000000" w:rsidP="00000000" w:rsidRDefault="00000000" w:rsidRPr="00000000" w14:paraId="0000036C">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do 30 czerwca  2027 roku</w:t>
            </w:r>
            <w:r w:rsidDel="00000000" w:rsidR="00000000" w:rsidRPr="00000000">
              <w:rPr>
                <w:rtl w:val="0"/>
              </w:rPr>
            </w:r>
          </w:p>
          <w:p w:rsidR="00000000" w:rsidDel="00000000" w:rsidP="00000000" w:rsidRDefault="00000000" w:rsidRPr="00000000" w14:paraId="0000036D">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highlight w:val="yellow"/>
                <w:u w:val="none"/>
                <w:vertAlign w:val="baseline"/>
              </w:rPr>
            </w:pPr>
            <w:r w:rsidDel="00000000" w:rsidR="00000000" w:rsidRPr="00000000">
              <w:rPr>
                <w:rtl w:val="0"/>
              </w:rPr>
            </w:r>
          </w:p>
        </w:tc>
      </w:tr>
      <w:tr>
        <w:trPr>
          <w:cantSplit w:val="0"/>
          <w:tblHeader w:val="0"/>
        </w:trPr>
        <w:tc>
          <w:tcPr>
            <w:shd w:fill="e1e0ca" w:val="clear"/>
            <w:vAlign w:val="top"/>
          </w:tcPr>
          <w:p w:rsidR="00000000" w:rsidDel="00000000" w:rsidP="00000000" w:rsidRDefault="00000000" w:rsidRPr="00000000" w14:paraId="000003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Informacje o lokalu użytkowym nabywanym równocześnie z lokalem mieszkalnym albo domem jednorodzinnym</w:t>
            </w:r>
          </w:p>
        </w:tc>
        <w:tc>
          <w:tcPr>
            <w:gridSpan w:val="2"/>
            <w:vAlign w:val="top"/>
          </w:tcPr>
          <w:p w:rsidR="00000000" w:rsidDel="00000000" w:rsidP="00000000" w:rsidRDefault="00000000" w:rsidRPr="00000000" w14:paraId="00000370">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Nie dotyczy</w:t>
            </w:r>
          </w:p>
        </w:tc>
      </w:tr>
      <w:tr>
        <w:trPr>
          <w:cantSplit w:val="0"/>
          <w:tblHeader w:val="0"/>
        </w:trPr>
        <w:tc>
          <w:tcPr>
            <w:shd w:fill="e1e0ca" w:val="clear"/>
            <w:vAlign w:val="top"/>
          </w:tcPr>
          <w:p w:rsidR="00000000" w:rsidDel="00000000" w:rsidP="00000000" w:rsidRDefault="00000000" w:rsidRPr="00000000" w14:paraId="000003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Cenę lokalu użytkowego albo ułamkowej części własności lokalu użytkowego</w:t>
            </w:r>
          </w:p>
        </w:tc>
        <w:tc>
          <w:tcPr>
            <w:gridSpan w:val="2"/>
            <w:vAlign w:val="top"/>
          </w:tcPr>
          <w:p w:rsidR="00000000" w:rsidDel="00000000" w:rsidP="00000000" w:rsidRDefault="00000000" w:rsidRPr="00000000" w14:paraId="00000373">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Nie dotyczy</w:t>
            </w:r>
          </w:p>
        </w:tc>
      </w:tr>
      <w:tr>
        <w:trPr>
          <w:cantSplit w:val="0"/>
          <w:tblHeader w:val="0"/>
        </w:trPr>
        <w:tc>
          <w:tcPr>
            <w:shd w:fill="e1e0ca" w:val="clear"/>
            <w:vAlign w:val="top"/>
          </w:tcPr>
          <w:p w:rsidR="00000000" w:rsidDel="00000000" w:rsidP="00000000" w:rsidRDefault="00000000" w:rsidRPr="00000000" w14:paraId="000003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Termin, do którego nastąpi przeniesienie prawa własności lokalu użytkowego albo ułamkowej części własności lokalu użytkowego</w:t>
            </w:r>
          </w:p>
        </w:tc>
        <w:tc>
          <w:tcPr>
            <w:gridSpan w:val="2"/>
            <w:vAlign w:val="top"/>
          </w:tcPr>
          <w:p w:rsidR="00000000" w:rsidDel="00000000" w:rsidP="00000000" w:rsidRDefault="00000000" w:rsidRPr="00000000" w14:paraId="00000376">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Nie dotyczy</w:t>
            </w:r>
          </w:p>
        </w:tc>
      </w:tr>
    </w:tbl>
    <w:p w:rsidR="00000000" w:rsidDel="00000000" w:rsidP="00000000" w:rsidRDefault="00000000" w:rsidRPr="00000000" w14:paraId="00000378">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Podpis dewelopera albo osoby upoważnionej do reprezentacji dewelopera</w:t>
      </w:r>
    </w:p>
    <w:p w:rsidR="00000000" w:rsidDel="00000000" w:rsidP="00000000" w:rsidRDefault="00000000" w:rsidRPr="00000000" w14:paraId="000003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C">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37D">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E">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F">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14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Załączniki:</w:t>
      </w:r>
      <w:r w:rsidDel="00000000" w:rsidR="00000000" w:rsidRPr="00000000">
        <w:rPr>
          <w:rtl w:val="0"/>
        </w:rPr>
      </w:r>
    </w:p>
    <w:p w:rsidR="00000000" w:rsidDel="00000000" w:rsidP="00000000" w:rsidRDefault="00000000" w:rsidRPr="00000000" w14:paraId="0000038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Quattrocento Sans" w:cs="Quattrocento Sans" w:eastAsia="Quattrocento Sans" w:hAnsi="Quattrocento Sans"/>
          <w:b w:val="0"/>
          <w:bCs w:val="0"/>
          <w:i w:val="0"/>
          <w:iCs w:val="0"/>
          <w:smallCaps w:val="0"/>
          <w:strike w:val="0"/>
          <w:color w:val="000000"/>
          <w:sz w:val="18"/>
          <w:szCs w:val="18"/>
          <w:u w:val="none"/>
          <w:shd w:fill="auto" w:val="clear"/>
          <w:vertAlign w:val="baseline"/>
          <w:rtl w:val="0"/>
        </w:rPr>
        <w:t xml:space="preserve">1.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Rzut budynku z zaznaczeniem lokalu mieszkalnego.</w:t>
      </w:r>
      <w:r w:rsidDel="00000000" w:rsidR="00000000" w:rsidRPr="00000000">
        <w:rPr>
          <w:rtl w:val="0"/>
        </w:rPr>
      </w:r>
    </w:p>
    <w:p w:rsidR="00000000" w:rsidDel="00000000" w:rsidP="00000000" w:rsidRDefault="00000000" w:rsidRPr="00000000" w14:paraId="0000038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 Wzór umowy deweloperskiej lub umowy, o której mowa w art. 2 ust. 1 pkt 2, 3 lub 5 ustawy z dnia 20 maja 2021 r. o ochronie praw nabywcy lokalu mieszkalnego lub domu jednorodzinnego oraz Deweloperskim Funduszu Gwarancyjnym.</w:t>
      </w:r>
    </w:p>
    <w:p w:rsidR="00000000" w:rsidDel="00000000" w:rsidP="00000000" w:rsidRDefault="00000000" w:rsidRPr="00000000" w14:paraId="0000038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28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3. Szkic koncepcji zagospodarowania terenu inwestycji i jego otoczenia z zaznaczeniem budynku oraz istotnych uwarunkowań lokalizacji inwestycji wynikających z istniejącego stanu użytkowania terenów sąsiednich (np. z funkcji terenu, stref ochronnych, uciążliwości).</w:t>
      </w:r>
    </w:p>
    <w:sectPr>
      <w:footerReference r:id="rId10" w:type="default"/>
      <w:pgSz w:h="16838" w:w="11906" w:orient="portrait"/>
      <w:pgMar w:bottom="851" w:top="709"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Courier Ne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lvl w:ilvl="0">
      <w:start w:val="3"/>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6">
    <w:lvl w:ilvl="0">
      <w:start w:val="1"/>
      <w:numFmt w:val="decimal"/>
      <w:lvlText w:val="%1."/>
      <w:lvlJc w:val="left"/>
      <w:pPr>
        <w:ind w:left="1065" w:hanging="705"/>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lvl w:ilvl="0">
      <w:start w:val="1"/>
      <w:numFmt w:val="decimal"/>
      <w:lvlText w:val="%1."/>
      <w:lvlJc w:val="left"/>
      <w:pPr>
        <w:ind w:left="599" w:hanging="360"/>
      </w:pPr>
      <w:rPr>
        <w:vertAlign w:val="baseline"/>
      </w:rPr>
    </w:lvl>
    <w:lvl w:ilvl="1">
      <w:start w:val="1"/>
      <w:numFmt w:val="lowerLetter"/>
      <w:lvlText w:val="%2."/>
      <w:lvlJc w:val="left"/>
      <w:pPr>
        <w:ind w:left="1319" w:hanging="360"/>
      </w:pPr>
      <w:rPr>
        <w:vertAlign w:val="baseline"/>
      </w:rPr>
    </w:lvl>
    <w:lvl w:ilvl="2">
      <w:start w:val="1"/>
      <w:numFmt w:val="lowerRoman"/>
      <w:lvlText w:val="%3."/>
      <w:lvlJc w:val="right"/>
      <w:pPr>
        <w:ind w:left="2039" w:hanging="180"/>
      </w:pPr>
      <w:rPr>
        <w:vertAlign w:val="baseline"/>
      </w:rPr>
    </w:lvl>
    <w:lvl w:ilvl="3">
      <w:start w:val="1"/>
      <w:numFmt w:val="decimal"/>
      <w:lvlText w:val="%4."/>
      <w:lvlJc w:val="left"/>
      <w:pPr>
        <w:ind w:left="2759" w:hanging="360"/>
      </w:pPr>
      <w:rPr>
        <w:vertAlign w:val="baseline"/>
      </w:rPr>
    </w:lvl>
    <w:lvl w:ilvl="4">
      <w:start w:val="1"/>
      <w:numFmt w:val="lowerLetter"/>
      <w:lvlText w:val="%5."/>
      <w:lvlJc w:val="left"/>
      <w:pPr>
        <w:ind w:left="3479" w:hanging="360"/>
      </w:pPr>
      <w:rPr>
        <w:vertAlign w:val="baseline"/>
      </w:rPr>
    </w:lvl>
    <w:lvl w:ilvl="5">
      <w:start w:val="1"/>
      <w:numFmt w:val="lowerRoman"/>
      <w:lvlText w:val="%6."/>
      <w:lvlJc w:val="right"/>
      <w:pPr>
        <w:ind w:left="4199" w:hanging="180"/>
      </w:pPr>
      <w:rPr>
        <w:vertAlign w:val="baseline"/>
      </w:rPr>
    </w:lvl>
    <w:lvl w:ilvl="6">
      <w:start w:val="1"/>
      <w:numFmt w:val="decimal"/>
      <w:lvlText w:val="%7."/>
      <w:lvlJc w:val="left"/>
      <w:pPr>
        <w:ind w:left="4919" w:hanging="360"/>
      </w:pPr>
      <w:rPr>
        <w:vertAlign w:val="baseline"/>
      </w:rPr>
    </w:lvl>
    <w:lvl w:ilvl="7">
      <w:start w:val="1"/>
      <w:numFmt w:val="lowerLetter"/>
      <w:lvlText w:val="%8."/>
      <w:lvlJc w:val="left"/>
      <w:pPr>
        <w:ind w:left="5639" w:hanging="360"/>
      </w:pPr>
      <w:rPr>
        <w:vertAlign w:val="baseline"/>
      </w:rPr>
    </w:lvl>
    <w:lvl w:ilvl="8">
      <w:start w:val="1"/>
      <w:numFmt w:val="lowerRoman"/>
      <w:lvlText w:val="%9."/>
      <w:lvlJc w:val="right"/>
      <w:pPr>
        <w:ind w:left="6359" w:hanging="18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p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ny">
    <w:name w:val="Normalny"/>
    <w:next w:val="Normalny"/>
    <w:autoRedefine w:val="0"/>
    <w:hidden w:val="0"/>
    <w:qFormat w:val="0"/>
    <w:pPr>
      <w:suppressAutoHyphens w:val="1"/>
      <w:spacing w:after="60" w:before="60" w:line="1" w:lineRule="atLeast"/>
      <w:ind w:leftChars="-1" w:rightChars="0" w:firstLineChars="-1"/>
      <w:jc w:val="both"/>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pl-PL"/>
    </w:rPr>
  </w:style>
  <w:style w:type="character" w:styleId="Domyślnaczcionkaakapitu">
    <w:name w:val="Domyślna czcionka akapitu"/>
    <w:next w:val="Domyślnaczcionkaakapitu"/>
    <w:autoRedefine w:val="0"/>
    <w:hidden w:val="0"/>
    <w:qFormat w:val="1"/>
    <w:rPr>
      <w:w w:val="100"/>
      <w:position w:val="-1"/>
      <w:effect w:val="none"/>
      <w:vertAlign w:val="baseline"/>
      <w:cs w:val="0"/>
      <w:em w:val="none"/>
      <w:lang/>
    </w:rPr>
  </w:style>
  <w:style w:type="table" w:styleId="Standardowy">
    <w:name w:val="Standardowy"/>
    <w:next w:val="Standardowy"/>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Bezlisty">
    <w:name w:val="Bez listy"/>
    <w:next w:val="Bezlisty"/>
    <w:autoRedefine w:val="0"/>
    <w:hidden w:val="0"/>
    <w:qFormat w:val="1"/>
    <w:pPr>
      <w:suppressAutoHyphens w:val="1"/>
      <w:spacing w:line="1" w:lineRule="atLeast"/>
      <w:ind w:leftChars="-1" w:rightChars="0" w:firstLineChars="-1"/>
      <w:textDirection w:val="btLr"/>
      <w:textAlignment w:val="top"/>
      <w:outlineLvl w:val="0"/>
    </w:pPr>
  </w:style>
  <w:style w:type="paragraph" w:styleId="nag_jed">
    <w:name w:val="nag_jed"/>
    <w:next w:val="nag_jed"/>
    <w:autoRedefine w:val="0"/>
    <w:hidden w:val="0"/>
    <w:qFormat w:val="0"/>
    <w:pPr>
      <w:suppressAutoHyphens w:val="1"/>
      <w:spacing w:after="60" w:before="60" w:line="1" w:lineRule="atLeast"/>
      <w:ind w:leftChars="-1" w:rightChars="0" w:firstLineChars="-1"/>
      <w:jc w:val="center"/>
      <w:textDirection w:val="btLr"/>
      <w:textAlignment w:val="top"/>
      <w:outlineLvl w:val="0"/>
    </w:pPr>
    <w:rPr>
      <w:rFonts w:ascii="Times New Roman" w:eastAsia="Times New Roman" w:hAnsi="Times New Roman"/>
      <w:b w:val="1"/>
      <w:bCs w:val="1"/>
      <w:w w:val="100"/>
      <w:position w:val="-1"/>
      <w:sz w:val="24"/>
      <w:szCs w:val="24"/>
      <w:effect w:val="none"/>
      <w:vertAlign w:val="baseline"/>
      <w:cs w:val="0"/>
      <w:em w:val="none"/>
      <w:lang w:bidi="ar-SA" w:eastAsia="en-US" w:val="pl-PL"/>
    </w:rPr>
  </w:style>
  <w:style w:type="paragraph" w:styleId="Tekstprzypisudolnego">
    <w:name w:val="Tekst przypisu dolnego"/>
    <w:basedOn w:val="Normalny"/>
    <w:next w:val="Tekstprzypisudolnego"/>
    <w:autoRedefine w:val="0"/>
    <w:hidden w:val="0"/>
    <w:qFormat w:val="0"/>
    <w:pPr>
      <w:suppressAutoHyphens w:val="1"/>
      <w:spacing w:after="60" w:before="60" w:line="1" w:lineRule="atLeast"/>
      <w:ind w:leftChars="-1" w:rightChars="0" w:firstLineChars="-1"/>
      <w:jc w:val="both"/>
      <w:textDirection w:val="btLr"/>
      <w:textAlignment w:val="top"/>
      <w:outlineLvl w:val="0"/>
    </w:pPr>
    <w:rPr>
      <w:rFonts w:ascii="Times New Roman" w:eastAsia="Times New Roman" w:hAnsi="Times New Roman"/>
      <w:w w:val="100"/>
      <w:position w:val="-1"/>
      <w:sz w:val="20"/>
      <w:szCs w:val="20"/>
      <w:effect w:val="none"/>
      <w:vertAlign w:val="baseline"/>
      <w:cs w:val="0"/>
      <w:em w:val="none"/>
      <w:lang w:bidi="ar-SA" w:eastAsia="en-US" w:val="pl-PL"/>
    </w:rPr>
  </w:style>
  <w:style w:type="character" w:styleId="TekstprzypisudolnegoZnak">
    <w:name w:val="Tekst przypisu dolnego Znak"/>
    <w:next w:val="TekstprzypisudolnegoZnak"/>
    <w:autoRedefine w:val="0"/>
    <w:hidden w:val="0"/>
    <w:qFormat w:val="0"/>
    <w:rPr>
      <w:rFonts w:ascii="Times New Roman" w:cs="Times New Roman" w:hAnsi="Times New Roman"/>
      <w:w w:val="100"/>
      <w:position w:val="-1"/>
      <w:sz w:val="20"/>
      <w:szCs w:val="20"/>
      <w:effect w:val="none"/>
      <w:vertAlign w:val="baseline"/>
      <w:cs w:val="0"/>
      <w:em w:val="none"/>
      <w:lang/>
    </w:rPr>
  </w:style>
  <w:style w:type="character" w:styleId="Odwołanieprzypisudolnego">
    <w:name w:val="Odwołanie przypisu dolnego"/>
    <w:next w:val="Odwołanieprzypisudolnego"/>
    <w:autoRedefine w:val="0"/>
    <w:hidden w:val="0"/>
    <w:qFormat w:val="0"/>
    <w:rPr>
      <w:w w:val="100"/>
      <w:position w:val="-1"/>
      <w:effect w:val="none"/>
      <w:vertAlign w:val="superscript"/>
      <w:cs w:val="0"/>
      <w:em w:val="none"/>
      <w:lang/>
    </w:rPr>
  </w:style>
  <w:style w:type="paragraph" w:styleId="Tekstpodstawowy3">
    <w:name w:val="Tekst podstawowy 3"/>
    <w:basedOn w:val="Normalny"/>
    <w:next w:val="Tekstpodstawowy3"/>
    <w:autoRedefine w:val="0"/>
    <w:hidden w:val="0"/>
    <w:qFormat w:val="0"/>
    <w:pPr>
      <w:suppressAutoHyphens w:val="1"/>
      <w:spacing w:after="60" w:before="60" w:line="1" w:lineRule="atLeast"/>
      <w:ind w:leftChars="-1" w:rightChars="0" w:firstLineChars="-1"/>
      <w:jc w:val="both"/>
      <w:textDirection w:val="btLr"/>
      <w:textAlignment w:val="top"/>
      <w:outlineLvl w:val="0"/>
    </w:pPr>
    <w:rPr>
      <w:rFonts w:ascii="Times New Roman" w:eastAsia="Times New Roman" w:hAnsi="Times New Roman"/>
      <w:b w:val="1"/>
      <w:bCs w:val="1"/>
      <w:w w:val="100"/>
      <w:position w:val="-1"/>
      <w:sz w:val="24"/>
      <w:szCs w:val="24"/>
      <w:effect w:val="none"/>
      <w:vertAlign w:val="baseline"/>
      <w:cs w:val="0"/>
      <w:em w:val="none"/>
      <w:lang w:bidi="ar-SA" w:eastAsia="en-US" w:val="pl-PL"/>
    </w:rPr>
  </w:style>
  <w:style w:type="paragraph" w:styleId="Akapitzlistą">
    <w:name w:val="Akapit z listą"/>
    <w:basedOn w:val="Normalny"/>
    <w:next w:val="Akapitzlistą"/>
    <w:autoRedefine w:val="0"/>
    <w:hidden w:val="0"/>
    <w:qFormat w:val="0"/>
    <w:pPr>
      <w:suppressAutoHyphens w:val="1"/>
      <w:spacing w:after="60" w:before="60" w:line="1" w:lineRule="atLeast"/>
      <w:ind w:left="720" w:leftChars="-1" w:rightChars="0" w:firstLineChars="-1"/>
      <w:contextualSpacing w:val="1"/>
      <w:jc w:val="both"/>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pl-PL"/>
    </w:rPr>
  </w:style>
  <w:style w:type="character" w:styleId="Tekstpodstawowy3Znak">
    <w:name w:val="Tekst podstawowy 3 Znak"/>
    <w:next w:val="Tekstpodstawowy3Znak"/>
    <w:autoRedefine w:val="0"/>
    <w:hidden w:val="0"/>
    <w:qFormat w:val="0"/>
    <w:rPr>
      <w:rFonts w:ascii="Times New Roman" w:cs="Times New Roman" w:hAnsi="Times New Roman"/>
      <w:b w:val="1"/>
      <w:bCs w:val="1"/>
      <w:w w:val="100"/>
      <w:position w:val="-1"/>
      <w:sz w:val="24"/>
      <w:szCs w:val="24"/>
      <w:effect w:val="none"/>
      <w:vertAlign w:val="baseline"/>
      <w:cs w:val="0"/>
      <w:em w:val="none"/>
      <w:lang/>
    </w:rPr>
  </w:style>
  <w:style w:type="paragraph" w:styleId="Tekstdymka">
    <w:name w:val="Tekst dymka"/>
    <w:basedOn w:val="Normalny"/>
    <w:next w:val="Tekstdymka"/>
    <w:autoRedefine w:val="0"/>
    <w:hidden w:val="0"/>
    <w:qFormat w:val="0"/>
    <w:pPr>
      <w:suppressAutoHyphens w:val="1"/>
      <w:spacing w:after="0" w:before="0" w:line="1" w:lineRule="atLeast"/>
      <w:ind w:leftChars="-1" w:rightChars="0" w:firstLineChars="-1"/>
      <w:jc w:val="both"/>
      <w:textDirection w:val="btLr"/>
      <w:textAlignment w:val="top"/>
      <w:outlineLvl w:val="0"/>
    </w:pPr>
    <w:rPr>
      <w:rFonts w:ascii="Segoe UI" w:cs="Segoe UI" w:eastAsia="Times New Roman" w:hAnsi="Segoe UI"/>
      <w:w w:val="100"/>
      <w:position w:val="-1"/>
      <w:sz w:val="18"/>
      <w:szCs w:val="18"/>
      <w:effect w:val="none"/>
      <w:vertAlign w:val="baseline"/>
      <w:cs w:val="0"/>
      <w:em w:val="none"/>
      <w:lang w:bidi="ar-SA" w:eastAsia="en-US" w:val="pl-PL"/>
    </w:rPr>
  </w:style>
  <w:style w:type="character" w:styleId="TekstdymkaZnak">
    <w:name w:val="Tekst dymka Znak"/>
    <w:next w:val="TekstdymkaZnak"/>
    <w:autoRedefine w:val="0"/>
    <w:hidden w:val="0"/>
    <w:qFormat w:val="0"/>
    <w:rPr>
      <w:rFonts w:ascii="Segoe UI" w:cs="Segoe UI" w:hAnsi="Segoe UI"/>
      <w:w w:val="100"/>
      <w:position w:val="-1"/>
      <w:sz w:val="18"/>
      <w:szCs w:val="18"/>
      <w:effect w:val="none"/>
      <w:vertAlign w:val="baseline"/>
      <w:cs w:val="0"/>
      <w:em w:val="none"/>
      <w:lang/>
    </w:rPr>
  </w:style>
  <w:style w:type="character" w:styleId="Hiperłącze">
    <w:name w:val="Hiperłącze"/>
    <w:next w:val="Hiperłącze"/>
    <w:autoRedefine w:val="0"/>
    <w:hidden w:val="0"/>
    <w:qFormat w:val="0"/>
    <w:rPr>
      <w:color w:val="0000ff"/>
      <w:w w:val="100"/>
      <w:position w:val="-1"/>
      <w:u w:val="single"/>
      <w:effect w:val="none"/>
      <w:vertAlign w:val="baseline"/>
      <w:cs w:val="0"/>
      <w:em w:val="none"/>
      <w:lang/>
    </w:rPr>
  </w:style>
  <w:style w:type="paragraph" w:styleId="gmail-msolistparagraph">
    <w:name w:val="gmail-msolistparagraph"/>
    <w:basedOn w:val="Normalny"/>
    <w:next w:val="gmail-msolistparagraph"/>
    <w:autoRedefine w:val="0"/>
    <w:hidden w:val="0"/>
    <w:qFormat w:val="0"/>
    <w:pPr>
      <w:suppressAutoHyphens w:val="1"/>
      <w:spacing w:after="100" w:afterAutospacing="1" w:before="100" w:beforeAutospacing="1" w:line="1" w:lineRule="atLeast"/>
      <w:ind w:leftChars="-1" w:rightChars="0" w:firstLineChars="-1"/>
      <w:jc w:val="left"/>
      <w:textDirection w:val="btLr"/>
      <w:textAlignment w:val="top"/>
      <w:outlineLvl w:val="0"/>
    </w:pPr>
    <w:rPr>
      <w:rFonts w:ascii="Calibri" w:cs="Calibri" w:eastAsia="Calibri" w:hAnsi="Calibri"/>
      <w:w w:val="100"/>
      <w:position w:val="-1"/>
      <w:sz w:val="22"/>
      <w:szCs w:val="22"/>
      <w:effect w:val="none"/>
      <w:vertAlign w:val="baseline"/>
      <w:cs w:val="0"/>
      <w:em w:val="none"/>
      <w:lang w:bidi="ar-SA" w:eastAsia="pl-PL" w:val="pl-PL"/>
    </w:rPr>
  </w:style>
  <w:style w:type="character" w:styleId="Odwołaniedokomentarza">
    <w:name w:val="Odwołanie do komentarza"/>
    <w:next w:val="Odwołaniedokomentarza"/>
    <w:autoRedefine w:val="0"/>
    <w:hidden w:val="0"/>
    <w:qFormat w:val="0"/>
    <w:rPr>
      <w:w w:val="100"/>
      <w:position w:val="-1"/>
      <w:sz w:val="16"/>
      <w:szCs w:val="16"/>
      <w:effect w:val="none"/>
      <w:vertAlign w:val="baseline"/>
      <w:cs w:val="0"/>
      <w:em w:val="none"/>
      <w:lang/>
    </w:rPr>
  </w:style>
  <w:style w:type="paragraph" w:styleId="Tekstkomentarza">
    <w:name w:val="Tekst komentarza"/>
    <w:basedOn w:val="Normalny"/>
    <w:next w:val="Tekstkomentarza"/>
    <w:autoRedefine w:val="0"/>
    <w:hidden w:val="0"/>
    <w:qFormat w:val="0"/>
    <w:pPr>
      <w:suppressAutoHyphens w:val="1"/>
      <w:spacing w:after="60" w:before="60" w:line="1" w:lineRule="atLeast"/>
      <w:ind w:leftChars="-1" w:rightChars="0" w:firstLineChars="-1"/>
      <w:jc w:val="both"/>
      <w:textDirection w:val="btLr"/>
      <w:textAlignment w:val="top"/>
      <w:outlineLvl w:val="0"/>
    </w:pPr>
    <w:rPr>
      <w:rFonts w:ascii="Times New Roman" w:eastAsia="Times New Roman" w:hAnsi="Times New Roman"/>
      <w:w w:val="100"/>
      <w:position w:val="-1"/>
      <w:sz w:val="20"/>
      <w:szCs w:val="20"/>
      <w:effect w:val="none"/>
      <w:vertAlign w:val="baseline"/>
      <w:cs w:val="0"/>
      <w:em w:val="none"/>
      <w:lang w:bidi="ar-SA" w:eastAsia="en-US" w:val="pl-PL"/>
    </w:rPr>
  </w:style>
  <w:style w:type="character" w:styleId="TekstkomentarzaZnak">
    <w:name w:val="Tekst komentarza Znak"/>
    <w:next w:val="TekstkomentarzaZnak"/>
    <w:autoRedefine w:val="0"/>
    <w:hidden w:val="0"/>
    <w:qFormat w:val="0"/>
    <w:rPr>
      <w:rFonts w:ascii="Times New Roman" w:cs="Times New Roman" w:hAnsi="Times New Roman"/>
      <w:w w:val="100"/>
      <w:position w:val="-1"/>
      <w:sz w:val="20"/>
      <w:szCs w:val="20"/>
      <w:effect w:val="none"/>
      <w:vertAlign w:val="baseline"/>
      <w:cs w:val="0"/>
      <w:em w:val="none"/>
      <w:lang/>
    </w:rPr>
  </w:style>
  <w:style w:type="paragraph" w:styleId="Tematkomentarza">
    <w:name w:val="Temat komentarza"/>
    <w:basedOn w:val="Tekstkomentarza"/>
    <w:next w:val="Tekstkomentarza"/>
    <w:autoRedefine w:val="0"/>
    <w:hidden w:val="0"/>
    <w:qFormat w:val="0"/>
    <w:pPr>
      <w:suppressAutoHyphens w:val="1"/>
      <w:spacing w:after="60" w:before="60" w:line="1" w:lineRule="atLeast"/>
      <w:ind w:leftChars="-1" w:rightChars="0" w:firstLineChars="-1"/>
      <w:jc w:val="both"/>
      <w:textDirection w:val="btLr"/>
      <w:textAlignment w:val="top"/>
      <w:outlineLvl w:val="0"/>
    </w:pPr>
    <w:rPr>
      <w:rFonts w:ascii="Times New Roman" w:eastAsia="Times New Roman" w:hAnsi="Times New Roman"/>
      <w:b w:val="1"/>
      <w:bCs w:val="1"/>
      <w:w w:val="100"/>
      <w:position w:val="-1"/>
      <w:sz w:val="20"/>
      <w:szCs w:val="20"/>
      <w:effect w:val="none"/>
      <w:vertAlign w:val="baseline"/>
      <w:cs w:val="0"/>
      <w:em w:val="none"/>
      <w:lang w:bidi="ar-SA" w:eastAsia="en-US" w:val="pl-PL"/>
    </w:rPr>
  </w:style>
  <w:style w:type="character" w:styleId="TematkomentarzaZnak">
    <w:name w:val="Temat komentarza Znak"/>
    <w:next w:val="TematkomentarzaZnak"/>
    <w:autoRedefine w:val="0"/>
    <w:hidden w:val="0"/>
    <w:qFormat w:val="0"/>
    <w:rPr>
      <w:rFonts w:ascii="Times New Roman" w:cs="Times New Roman" w:hAnsi="Times New Roman"/>
      <w:b w:val="1"/>
      <w:bCs w:val="1"/>
      <w:w w:val="100"/>
      <w:position w:val="-1"/>
      <w:sz w:val="20"/>
      <w:szCs w:val="20"/>
      <w:effect w:val="none"/>
      <w:vertAlign w:val="baseline"/>
      <w:cs w:val="0"/>
      <w:em w:val="none"/>
      <w:lang/>
    </w:rPr>
  </w:style>
  <w:style w:type="paragraph" w:styleId="Nagłówek">
    <w:name w:val="Nagłówek"/>
    <w:basedOn w:val="Normalny"/>
    <w:next w:val="Nagłówek"/>
    <w:autoRedefine w:val="0"/>
    <w:hidden w:val="0"/>
    <w:qFormat w:val="0"/>
    <w:pPr>
      <w:suppressAutoHyphens w:val="1"/>
      <w:spacing w:after="0" w:before="0" w:line="1" w:lineRule="atLeast"/>
      <w:ind w:leftChars="-1" w:rightChars="0" w:firstLineChars="-1"/>
      <w:jc w:val="both"/>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pl-PL"/>
    </w:rPr>
  </w:style>
  <w:style w:type="character" w:styleId="NagłówekZnak">
    <w:name w:val="Nagłówek Znak"/>
    <w:next w:val="NagłówekZnak"/>
    <w:autoRedefine w:val="0"/>
    <w:hidden w:val="0"/>
    <w:qFormat w:val="0"/>
    <w:rPr>
      <w:rFonts w:ascii="Times New Roman" w:cs="Times New Roman" w:hAnsi="Times New Roman"/>
      <w:w w:val="100"/>
      <w:position w:val="-1"/>
      <w:sz w:val="24"/>
      <w:szCs w:val="24"/>
      <w:effect w:val="none"/>
      <w:vertAlign w:val="baseline"/>
      <w:cs w:val="0"/>
      <w:em w:val="none"/>
      <w:lang/>
    </w:rPr>
  </w:style>
  <w:style w:type="paragraph" w:styleId="Stopka">
    <w:name w:val="Stopka"/>
    <w:basedOn w:val="Normalny"/>
    <w:next w:val="Stopka"/>
    <w:autoRedefine w:val="0"/>
    <w:hidden w:val="0"/>
    <w:qFormat w:val="0"/>
    <w:pPr>
      <w:suppressAutoHyphens w:val="1"/>
      <w:spacing w:after="0" w:before="0" w:line="1" w:lineRule="atLeast"/>
      <w:ind w:leftChars="-1" w:rightChars="0" w:firstLineChars="-1"/>
      <w:jc w:val="both"/>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pl-PL"/>
    </w:rPr>
  </w:style>
  <w:style w:type="character" w:styleId="StopkaZnak">
    <w:name w:val="Stopka Znak"/>
    <w:next w:val="StopkaZnak"/>
    <w:autoRedefine w:val="0"/>
    <w:hidden w:val="0"/>
    <w:qFormat w:val="0"/>
    <w:rPr>
      <w:rFonts w:ascii="Times New Roman" w:cs="Times New Roman" w:hAnsi="Times New Roman"/>
      <w:w w:val="100"/>
      <w:position w:val="-1"/>
      <w:sz w:val="24"/>
      <w:szCs w:val="24"/>
      <w:effect w:val="none"/>
      <w:vertAlign w:val="baseline"/>
      <w:cs w:val="0"/>
      <w:em w:val="none"/>
      <w:lang/>
    </w:rPr>
  </w:style>
  <w:style w:type="character" w:styleId="Nierozpoznanawzmianka1">
    <w:name w:val="Nierozpoznana wzmianka1"/>
    <w:next w:val="Nierozpoznanawzmianka1"/>
    <w:autoRedefine w:val="0"/>
    <w:hidden w:val="0"/>
    <w:qFormat w:val="0"/>
    <w:rPr>
      <w:color w:val="605e5c"/>
      <w:w w:val="100"/>
      <w:position w:val="-1"/>
      <w:effect w:val="none"/>
      <w:shd w:color="auto" w:fill="e1dfdd" w:val="clear"/>
      <w:vertAlign w:val="baseline"/>
      <w:cs w:val="0"/>
      <w:em w:val="none"/>
      <w:lang/>
    </w:rPr>
  </w:style>
  <w:style w:type="character" w:styleId="Nierozpoznanawzmianka2">
    <w:name w:val="Nierozpoznana wzmianka2"/>
    <w:next w:val="Nierozpoznanawzmianka2"/>
    <w:autoRedefine w:val="0"/>
    <w:hidden w:val="0"/>
    <w:qFormat w:val="1"/>
    <w:rPr>
      <w:color w:val="605e5c"/>
      <w:w w:val="100"/>
      <w:position w:val="-1"/>
      <w:effect w:val="none"/>
      <w:shd w:color="auto" w:fill="e1dfdd" w:val="clear"/>
      <w:vertAlign w:val="baseline"/>
      <w:cs w:val="0"/>
      <w:em w:val="none"/>
      <w:lang/>
    </w:rPr>
  </w:style>
  <w:style w:type="paragraph" w:styleId="Default">
    <w:name w:val="Default"/>
    <w:next w:val="Default"/>
    <w:autoRedefine w:val="0"/>
    <w:hidden w:val="0"/>
    <w:qFormat w:val="0"/>
    <w:pPr>
      <w:suppressAutoHyphens w:val="1"/>
      <w:autoSpaceDE w:val="0"/>
      <w:autoSpaceDN w:val="0"/>
      <w:adjustRightInd w:val="0"/>
      <w:spacing w:line="1" w:lineRule="atLeast"/>
      <w:ind w:leftChars="-1" w:rightChars="0" w:firstLineChars="-1"/>
      <w:textDirection w:val="btLr"/>
      <w:textAlignment w:val="top"/>
      <w:outlineLvl w:val="0"/>
    </w:pPr>
    <w:rPr>
      <w:rFonts w:ascii="Times New Roman" w:eastAsia="Times New Roman" w:hAnsi="Times New Roman"/>
      <w:color w:val="000000"/>
      <w:w w:val="100"/>
      <w:position w:val="-1"/>
      <w:sz w:val="24"/>
      <w:szCs w:val="24"/>
      <w:effect w:val="none"/>
      <w:vertAlign w:val="baseline"/>
      <w:cs w:val="0"/>
      <w:em w:val="none"/>
      <w:lang w:bidi="ar-SA" w:eastAsia="pl-PL" w:val="pl-PL"/>
    </w:rPr>
  </w:style>
  <w:style w:type="paragraph" w:styleId="uzup">
    <w:name w:val="uzup"/>
    <w:basedOn w:val="Normalny"/>
    <w:next w:val="uzup"/>
    <w:autoRedefine w:val="0"/>
    <w:hidden w:val="0"/>
    <w:qFormat w:val="0"/>
    <w:pPr>
      <w:shd w:color="auto" w:fill="ffffff" w:val="clear"/>
      <w:suppressAutoHyphens w:val="0"/>
      <w:spacing w:after="0" w:before="30" w:line="270" w:lineRule="atLeast"/>
      <w:ind w:leftChars="-1" w:rightChars="0" w:firstLineChars="-1"/>
      <w:jc w:val="left"/>
      <w:textDirection w:val="btLr"/>
      <w:textAlignment w:val="top"/>
      <w:outlineLvl w:val="0"/>
    </w:pPr>
    <w:rPr>
      <w:rFonts w:ascii="Calibri" w:cs="Calibri" w:eastAsia="Times New Roman" w:hAnsi="Calibri"/>
      <w:w w:val="100"/>
      <w:position w:val="-1"/>
      <w:sz w:val="20"/>
      <w:szCs w:val="20"/>
      <w:effect w:val="none"/>
      <w:vertAlign w:val="baseline"/>
      <w:cs w:val="0"/>
      <w:em w:val="none"/>
      <w:lang w:bidi="ar-SA" w:eastAsia="ar-SA" w:val="pl-PL"/>
    </w:rPr>
  </w:style>
  <w:style w:type="paragraph" w:styleId="Poprawka">
    <w:name w:val="Poprawka"/>
    <w:next w:val="Poprawka"/>
    <w:autoRedefine w:val="0"/>
    <w:hidden w:val="0"/>
    <w:qFormat w:val="0"/>
    <w:pPr>
      <w:suppressAutoHyphens w:val="1"/>
      <w:spacing w:line="1" w:lineRule="atLeast"/>
      <w:ind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pl-PL"/>
    </w:rPr>
  </w:style>
  <w:style w:type="character" w:styleId="cf01">
    <w:name w:val="cf01"/>
    <w:next w:val="cf01"/>
    <w:autoRedefine w:val="0"/>
    <w:hidden w:val="0"/>
    <w:qFormat w:val="0"/>
    <w:rPr>
      <w:rFonts w:ascii="Segoe UI" w:cs="Segoe UI" w:hAnsi="Segoe UI" w:hint="default"/>
      <w:w w:val="100"/>
      <w:position w:val="-1"/>
      <w:sz w:val="18"/>
      <w:szCs w:val="18"/>
      <w:effect w:val="none"/>
      <w:vertAlign w:val="baseline"/>
      <w:cs w:val="0"/>
      <w:em w:val="none"/>
      <w:lang/>
    </w:rPr>
  </w:style>
  <w:style w:type="character" w:styleId="cf11">
    <w:name w:val="cf11"/>
    <w:next w:val="cf11"/>
    <w:autoRedefine w:val="0"/>
    <w:hidden w:val="0"/>
    <w:qFormat w:val="0"/>
    <w:rPr>
      <w:rFonts w:ascii="Segoe UI" w:cs="Segoe UI" w:hAnsi="Segoe UI" w:hint="default"/>
      <w:w w:val="100"/>
      <w:position w:val="-1"/>
      <w:sz w:val="18"/>
      <w:szCs w:val="18"/>
      <w:effect w:val="none"/>
      <w:vertAlign w:val="baseline"/>
      <w:cs w:val="0"/>
      <w:em w:val="none"/>
      <w:lang/>
    </w:rPr>
  </w:style>
  <w:style w:type="paragraph" w:styleId="pf0">
    <w:name w:val="pf0"/>
    <w:basedOn w:val="Normalny"/>
    <w:next w:val="pf0"/>
    <w:autoRedefine w:val="0"/>
    <w:hidden w:val="0"/>
    <w:qFormat w:val="0"/>
    <w:pPr>
      <w:suppressAutoHyphens w:val="1"/>
      <w:spacing w:after="100" w:afterAutospacing="1" w:before="100" w:beforeAutospacing="1" w:line="1"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pl-PL" w:val="pl-PL"/>
    </w:rPr>
  </w:style>
  <w:style w:type="paragraph" w:styleId="Normalny(Web)">
    <w:name w:val="Normalny (Web)"/>
    <w:basedOn w:val="Normalny"/>
    <w:next w:val="Normalny(Web)"/>
    <w:autoRedefine w:val="0"/>
    <w:hidden w:val="0"/>
    <w:qFormat w:val="1"/>
    <w:pPr>
      <w:suppressAutoHyphens w:val="1"/>
      <w:spacing w:after="100" w:afterAutospacing="1" w:before="100" w:beforeAutospacing="1" w:line="1"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pl-PL" w:val="pl-PL"/>
    </w:rPr>
  </w:style>
  <w:style w:type="paragraph" w:styleId="Podtytuł">
    <w:name w:val="Podtytuł"/>
    <w:basedOn w:val="Normalny"/>
    <w:next w:val="Normalny"/>
    <w:autoRedefine w:val="0"/>
    <w:hidden w:val="0"/>
    <w:qFormat w:val="0"/>
    <w:pPr>
      <w:suppressAutoHyphens w:val="1"/>
      <w:spacing w:after="60" w:before="60" w:line="1" w:lineRule="atLeast"/>
      <w:ind w:leftChars="-1" w:rightChars="0" w:firstLineChars="-1"/>
      <w:jc w:val="center"/>
      <w:textDirection w:val="btLr"/>
      <w:textAlignment w:val="top"/>
      <w:outlineLvl w:val="1"/>
    </w:pPr>
    <w:rPr>
      <w:rFonts w:ascii="Cambria" w:cs="Times New Roman" w:eastAsia="Times New Roman" w:hAnsi="Cambria"/>
      <w:w w:val="100"/>
      <w:position w:val="-1"/>
      <w:sz w:val="24"/>
      <w:szCs w:val="24"/>
      <w:effect w:val="none"/>
      <w:vertAlign w:val="baseline"/>
      <w:cs w:val="0"/>
      <w:em w:val="none"/>
      <w:lang w:bidi="ar-SA" w:eastAsia="en-US" w:val="pl-PL"/>
    </w:rPr>
  </w:style>
  <w:style w:type="character" w:styleId="PodtytułZnak">
    <w:name w:val="Podtytuł Znak"/>
    <w:next w:val="PodtytułZnak"/>
    <w:autoRedefine w:val="0"/>
    <w:hidden w:val="0"/>
    <w:qFormat w:val="0"/>
    <w:rPr>
      <w:rFonts w:ascii="Cambria" w:cs="Times New Roman" w:eastAsia="Times New Roman" w:hAnsi="Cambria"/>
      <w:w w:val="100"/>
      <w:position w:val="-1"/>
      <w:sz w:val="24"/>
      <w:szCs w:val="24"/>
      <w:effect w:val="none"/>
      <w:vertAlign w:val="baseline"/>
      <w:cs w:val="0"/>
      <w:em w:val="none"/>
      <w:lang w:eastAsia="en-US"/>
    </w:rPr>
  </w:style>
  <w:style w:type="character" w:styleId="CharacterStyle2">
    <w:name w:val="Character Style 2"/>
    <w:next w:val="CharacterStyle2"/>
    <w:autoRedefine w:val="0"/>
    <w:hidden w:val="0"/>
    <w:qFormat w:val="0"/>
    <w:rPr>
      <w:w w:val="100"/>
      <w:position w:val="-1"/>
      <w:sz w:val="20"/>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70.0" w:type="dxa"/>
        <w:bottom w:w="0.0" w:type="dxa"/>
        <w:right w:w="70.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yperlink" Target="http://www.osiedlezgodna.pl"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marcin@kotwiczna.pl" TargetMode="External"/><Relationship Id="rId8" Type="http://schemas.openxmlformats.org/officeDocument/2006/relationships/hyperlink" Target="mailto:marcin@kotwiczna.p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vtQTh/taQlJvdrB2919NyHDiZQ==">CgMxLjAyDWgubDZuNmE5NnF5MWQ4AHIhMWstUWRLc1NfU3V5ZWpOQk1TOE5SbXFFV2FFaDFfZDV5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2026-04-12T14:09:00Z</dcterms:created>
  <dc:creator>Tomasz SZ</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3" name="ContentTypeId">
    <vt:lpstr>0x010100A1CDAAC878602A41A32C4F9E64F42094</vt:lpstr>
  </property>
  <property fmtid="{D5CDD505-2E9C-101B-9397-08002B2CF9AE}" pid="4" name="_activity">
    <vt:lpstr/>
  </property>
</Properties>
</file>